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新《安全生产法》宣贯考核评分细则</w:t>
      </w:r>
    </w:p>
    <w:bookmarkEnd w:id="0"/>
    <w:p>
      <w:pPr>
        <w:spacing w:line="70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考核单位：                                                                  得分：</w:t>
      </w:r>
    </w:p>
    <w:tbl>
      <w:tblPr>
        <w:tblStyle w:val="3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184"/>
        <w:gridCol w:w="556"/>
        <w:gridCol w:w="3522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tblHeader/>
        </w:trPr>
        <w:tc>
          <w:tcPr>
            <w:tcW w:w="34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189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考核标准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分值</w:t>
            </w:r>
          </w:p>
        </w:tc>
        <w:tc>
          <w:tcPr>
            <w:tcW w:w="209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评分标准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01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是否成立专门活动组织机构，及时安排部署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未成立专门组织机构扣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分，未及时安排部署扣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02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方案内容是否完善，并严格执行落实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方案未制定扣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分，方案制定不完善扣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分，未严格执行扣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1894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是否宣传报道到位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广播、电视、网络、报纸、公交、公共场所横幅、电梯间、宣传大屏等每项加1分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是否举办领导干部大讲堂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未按要求组织扣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是否按要求组织监管执法专业培训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/>
                <w:szCs w:val="21"/>
              </w:rPr>
              <w:t>自行出题，百分制，60分及格，未按要求达标扣10分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宣贯方案、总结开展是否及时报送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095" w:type="pct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方案、总结未按要求及时上报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县安委办</w:t>
            </w:r>
            <w:r>
              <w:rPr>
                <w:rFonts w:hint="eastAsia" w:ascii="仿宋" w:hAnsi="仿宋" w:eastAsia="仿宋"/>
                <w:szCs w:val="21"/>
              </w:rPr>
              <w:t>每项扣5分，每报一次活动信息加1分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1894" w:type="pct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企业是否组织宣贯学习考试，重点岗位人员、特种作业人员、安全管理人员考试优秀率是否达到100%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2095" w:type="pct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每一家企业未组织学习宣贯扣，未组织考试（自行命题，百分制，60分及格，80分以上优秀）扣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，未达标扣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4E30"/>
    <w:rsid w:val="5D5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2021-10-11T01:04:00Z</dcterms:created>
  <dc:creator>﹏武鑫</dc:creator>
  <cp:lastModifiedBy>﹏武鑫</cp:lastModifiedBy>
  <dcterms:modified xsi:type="dcterms:W3CDTF">2021-10-11T01:06:47Z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B073BB6167B14325A4FB0C7ACAC27481</vt:lpwstr>
  </property>
</Properties>
</file>