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70FBA">
      <w:pPr>
        <w:jc w:val="center"/>
        <w:rPr>
          <w:rFonts w:hint="eastAsia"/>
          <w:b/>
          <w:bCs/>
          <w:color w:val="auto"/>
          <w:sz w:val="48"/>
          <w:szCs w:val="56"/>
          <w:highlight w:val="none"/>
          <w:lang w:val="en-US" w:eastAsia="zh-CN"/>
        </w:rPr>
      </w:pPr>
    </w:p>
    <w:p w14:paraId="3E3BC07C">
      <w:pPr>
        <w:pStyle w:val="89"/>
        <w:bidi w:val="0"/>
        <w:ind w:firstLine="0"/>
        <w:rPr>
          <w:rFonts w:hint="eastAsia" w:cs="Times New Roman"/>
          <w:b w:val="0"/>
          <w:color w:val="auto"/>
          <w:highlight w:val="none"/>
          <w:lang w:val="en-US" w:eastAsia="zh-CN"/>
        </w:rPr>
      </w:pPr>
    </w:p>
    <w:p w14:paraId="32B64521">
      <w:pPr>
        <w:pStyle w:val="89"/>
        <w:bidi w:val="0"/>
        <w:ind w:firstLine="0"/>
        <w:rPr>
          <w:rFonts w:hint="eastAsia" w:cs="Times New Roman"/>
          <w:b w:val="0"/>
          <w:color w:val="auto"/>
          <w:highlight w:val="none"/>
          <w:lang w:val="en-US" w:eastAsia="zh-CN"/>
        </w:rPr>
      </w:pPr>
    </w:p>
    <w:p w14:paraId="282676CE">
      <w:pPr>
        <w:pStyle w:val="89"/>
        <w:bidi w:val="0"/>
        <w:ind w:firstLine="0"/>
        <w:rPr>
          <w:rFonts w:hint="eastAsia" w:ascii="黑体" w:hAnsi="黑体" w:eastAsia="黑体" w:cs="黑体"/>
          <w:b w:val="0"/>
          <w:color w:val="auto"/>
          <w:highlight w:val="none"/>
          <w:lang w:val="en-US" w:eastAsia="zh-CN"/>
        </w:rPr>
      </w:pPr>
      <w:r>
        <w:rPr>
          <w:rFonts w:hint="eastAsia" w:ascii="黑体" w:hAnsi="黑体" w:eastAsia="黑体" w:cs="黑体"/>
          <w:b w:val="0"/>
          <w:color w:val="auto"/>
          <w:highlight w:val="none"/>
          <w:lang w:val="en-US" w:eastAsia="zh-CN"/>
        </w:rPr>
        <w:t>呼和浩特托克托经济开发区</w:t>
      </w:r>
    </w:p>
    <w:p w14:paraId="2F4B8338">
      <w:pPr>
        <w:pStyle w:val="89"/>
        <w:bidi w:val="0"/>
        <w:ind w:firstLine="0"/>
        <w:rPr>
          <w:rFonts w:hint="eastAsia" w:ascii="黑体" w:hAnsi="黑体" w:eastAsia="黑体" w:cs="黑体"/>
          <w:b w:val="0"/>
          <w:color w:val="auto"/>
          <w:highlight w:val="none"/>
          <w:lang w:val="en-US" w:eastAsia="zh-CN"/>
        </w:rPr>
      </w:pPr>
      <w:r>
        <w:rPr>
          <w:rFonts w:hint="eastAsia" w:ascii="黑体" w:hAnsi="黑体" w:eastAsia="黑体" w:cs="黑体"/>
          <w:b w:val="0"/>
          <w:color w:val="auto"/>
          <w:highlight w:val="none"/>
          <w:lang w:val="en-US" w:eastAsia="zh-CN"/>
        </w:rPr>
        <w:t>“十五五”规划</w:t>
      </w:r>
    </w:p>
    <w:p w14:paraId="705D5EE3">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Times New Roman" w:hAnsi="Times New Roman" w:cs="Times New Roman"/>
          <w:color w:val="auto"/>
          <w:sz w:val="36"/>
          <w:szCs w:val="28"/>
          <w:highlight w:val="none"/>
          <w:lang w:val="en-US" w:eastAsia="zh-CN"/>
        </w:rPr>
      </w:pPr>
      <w:r>
        <w:rPr>
          <w:rFonts w:hint="eastAsia" w:ascii="Times New Roman" w:hAnsi="Times New Roman" w:cs="Times New Roman"/>
          <w:color w:val="auto"/>
          <w:sz w:val="36"/>
          <w:szCs w:val="28"/>
          <w:highlight w:val="none"/>
          <w:lang w:val="en-US" w:eastAsia="zh-CN"/>
        </w:rPr>
        <w:t>（征求意见稿）</w:t>
      </w:r>
    </w:p>
    <w:p w14:paraId="236EBA98">
      <w:pPr>
        <w:rPr>
          <w:rFonts w:hint="eastAsia"/>
          <w:color w:val="auto"/>
          <w:highlight w:val="none"/>
          <w:lang w:val="en-US" w:eastAsia="zh-CN"/>
        </w:rPr>
      </w:pPr>
    </w:p>
    <w:p w14:paraId="079F98BF">
      <w:pPr>
        <w:rPr>
          <w:rFonts w:hint="eastAsia"/>
          <w:color w:val="auto"/>
          <w:highlight w:val="none"/>
          <w:lang w:val="en-US" w:eastAsia="zh-CN"/>
        </w:rPr>
      </w:pPr>
    </w:p>
    <w:p w14:paraId="5DD987B6">
      <w:pPr>
        <w:rPr>
          <w:rFonts w:hint="eastAsia"/>
          <w:color w:val="auto"/>
          <w:highlight w:val="none"/>
          <w:lang w:val="en-US" w:eastAsia="zh-CN"/>
        </w:rPr>
      </w:pPr>
    </w:p>
    <w:p w14:paraId="4E3EA64F">
      <w:pPr>
        <w:rPr>
          <w:rFonts w:hint="eastAsia"/>
          <w:color w:val="auto"/>
          <w:highlight w:val="none"/>
          <w:lang w:val="en-US" w:eastAsia="zh-CN"/>
        </w:rPr>
      </w:pPr>
    </w:p>
    <w:p w14:paraId="2F1CF3F0">
      <w:pPr>
        <w:rPr>
          <w:rFonts w:hint="eastAsia"/>
          <w:color w:val="auto"/>
          <w:highlight w:val="none"/>
          <w:lang w:val="en-US" w:eastAsia="zh-CN"/>
        </w:rPr>
      </w:pPr>
      <w:bookmarkStart w:id="0" w:name="_GoBack"/>
      <w:bookmarkEnd w:id="0"/>
    </w:p>
    <w:p w14:paraId="08C21771">
      <w:pPr>
        <w:rPr>
          <w:rFonts w:hint="eastAsia"/>
          <w:color w:val="auto"/>
          <w:highlight w:val="none"/>
          <w:lang w:val="en-US" w:eastAsia="zh-CN"/>
        </w:rPr>
      </w:pPr>
    </w:p>
    <w:p w14:paraId="1B7C70F3">
      <w:pPr>
        <w:rPr>
          <w:rFonts w:hint="eastAsia"/>
          <w:color w:val="auto"/>
          <w:highlight w:val="none"/>
          <w:lang w:val="en-US" w:eastAsia="zh-CN"/>
        </w:rPr>
      </w:pPr>
    </w:p>
    <w:p w14:paraId="2C4B44D3">
      <w:pPr>
        <w:rPr>
          <w:rFonts w:hint="eastAsia"/>
          <w:color w:val="auto"/>
          <w:highlight w:val="none"/>
          <w:lang w:val="en-US" w:eastAsia="zh-CN"/>
        </w:rPr>
      </w:pPr>
    </w:p>
    <w:p w14:paraId="374544DA">
      <w:pPr>
        <w:rPr>
          <w:rFonts w:hint="eastAsia"/>
          <w:color w:val="auto"/>
          <w:highlight w:val="none"/>
          <w:lang w:val="en-US" w:eastAsia="zh-CN"/>
        </w:rPr>
      </w:pPr>
    </w:p>
    <w:p w14:paraId="7184E5DE">
      <w:pPr>
        <w:rPr>
          <w:rFonts w:hint="eastAsia"/>
          <w:color w:val="auto"/>
          <w:highlight w:val="none"/>
          <w:lang w:val="en-US" w:eastAsia="zh-CN"/>
        </w:rPr>
      </w:pPr>
    </w:p>
    <w:p w14:paraId="759C1654">
      <w:pPr>
        <w:rPr>
          <w:rFonts w:hint="eastAsia"/>
          <w:color w:val="auto"/>
          <w:highlight w:val="none"/>
          <w:lang w:val="en-US" w:eastAsia="zh-CN"/>
        </w:rPr>
      </w:pPr>
    </w:p>
    <w:p w14:paraId="7AB4BB1B">
      <w:pPr>
        <w:rPr>
          <w:rFonts w:hint="eastAsia"/>
          <w:color w:val="auto"/>
          <w:highlight w:val="none"/>
          <w:lang w:val="en-US" w:eastAsia="zh-CN"/>
        </w:rPr>
      </w:pPr>
    </w:p>
    <w:p w14:paraId="211F8618">
      <w:pPr>
        <w:rPr>
          <w:rFonts w:hint="eastAsia"/>
          <w:color w:val="auto"/>
          <w:highlight w:val="none"/>
          <w:lang w:val="en-US" w:eastAsia="zh-CN"/>
        </w:rPr>
      </w:pPr>
    </w:p>
    <w:p w14:paraId="6A1026C0">
      <w:pPr>
        <w:jc w:val="center"/>
        <w:rPr>
          <w:rFonts w:hint="eastAsia" w:ascii="黑体" w:hAnsi="黑体" w:eastAsia="黑体" w:cs="黑体"/>
          <w:color w:val="auto"/>
          <w:sz w:val="32"/>
          <w:szCs w:val="40"/>
          <w:highlight w:val="none"/>
          <w:lang w:val="en-US" w:eastAsia="zh-CN"/>
        </w:rPr>
      </w:pPr>
      <w:r>
        <w:rPr>
          <w:rFonts w:hint="eastAsia" w:ascii="黑体" w:hAnsi="黑体" w:eastAsia="黑体" w:cs="黑体"/>
          <w:color w:val="auto"/>
          <w:sz w:val="32"/>
          <w:szCs w:val="40"/>
          <w:highlight w:val="none"/>
          <w:lang w:val="en-US" w:eastAsia="zh-CN"/>
        </w:rPr>
        <w:t>呼和浩特托克托经济开发区管理委员会</w:t>
      </w:r>
    </w:p>
    <w:p w14:paraId="18FA87AD">
      <w:pPr>
        <w:jc w:val="center"/>
        <w:rPr>
          <w:rFonts w:hint="eastAsia" w:ascii="黑体" w:hAnsi="黑体" w:eastAsia="黑体" w:cs="黑体"/>
          <w:color w:val="auto"/>
          <w:sz w:val="32"/>
          <w:szCs w:val="40"/>
          <w:highlight w:val="none"/>
          <w:lang w:val="en-US" w:eastAsia="zh-CN"/>
        </w:rPr>
      </w:pPr>
      <w:r>
        <w:rPr>
          <w:rFonts w:hint="eastAsia" w:ascii="黑体" w:hAnsi="黑体" w:eastAsia="黑体" w:cs="黑体"/>
          <w:color w:val="auto"/>
          <w:sz w:val="32"/>
          <w:szCs w:val="40"/>
          <w:highlight w:val="none"/>
          <w:lang w:val="en-US" w:eastAsia="zh-CN"/>
        </w:rPr>
        <w:t>2026年8月</w:t>
      </w:r>
    </w:p>
    <w:p w14:paraId="6841F3C0">
      <w:pPr>
        <w:jc w:val="center"/>
        <w:rPr>
          <w:rFonts w:hint="eastAsia" w:ascii="方正小标宋简体" w:hAnsi="方正小标宋简体" w:eastAsia="方正小标宋简体" w:cs="方正小标宋简体"/>
          <w:color w:val="auto"/>
          <w:sz w:val="32"/>
          <w:szCs w:val="40"/>
          <w:highlight w:val="none"/>
          <w:lang w:val="en-US" w:eastAsia="zh-CN"/>
        </w:rPr>
        <w:sectPr>
          <w:pgSz w:w="11906" w:h="16838"/>
          <w:pgMar w:top="1440" w:right="1800" w:bottom="1440" w:left="1800" w:header="851" w:footer="992" w:gutter="0"/>
          <w:cols w:space="720" w:num="1"/>
          <w:docGrid w:type="lines" w:linePitch="312" w:charSpace="0"/>
        </w:sectPr>
      </w:pPr>
    </w:p>
    <w:p w14:paraId="6D98651D">
      <w:pPr>
        <w:pStyle w:val="3"/>
        <w:keepNext w:val="0"/>
        <w:keepLines w:val="0"/>
        <w:pageBreakBefore w:val="0"/>
        <w:widowControl w:val="0"/>
        <w:kinsoku/>
        <w:wordWrap/>
        <w:overflowPunct/>
        <w:topLinePunct w:val="0"/>
        <w:autoSpaceDE/>
        <w:autoSpaceDN/>
        <w:bidi w:val="0"/>
        <w:adjustRightInd/>
        <w:snapToGrid/>
        <w:spacing w:before="164" w:beforeLines="50" w:after="164" w:afterLines="50"/>
        <w:ind w:left="0" w:leftChars="0" w:firstLine="0" w:firstLineChars="0"/>
        <w:jc w:val="center"/>
        <w:textAlignment w:val="auto"/>
        <w:rPr>
          <w:rFonts w:hint="eastAsia" w:ascii="方正小标宋简体" w:hAnsi="方正小标宋简体" w:eastAsia="方正小标宋简体" w:cs="方正小标宋简体"/>
          <w:color w:val="auto"/>
          <w:sz w:val="40"/>
          <w:szCs w:val="40"/>
        </w:rPr>
      </w:pPr>
      <w:r>
        <w:rPr>
          <w:rFonts w:hint="eastAsia" w:ascii="方正小标宋简体" w:hAnsi="方正小标宋简体" w:eastAsia="方正小标宋简体" w:cs="方正小标宋简体"/>
          <w:color w:val="auto"/>
          <w:sz w:val="40"/>
          <w:szCs w:val="40"/>
        </w:rPr>
        <w:t>呼和浩特托克托经济开发区</w:t>
      </w:r>
      <w:r>
        <w:rPr>
          <w:rFonts w:hint="eastAsia" w:ascii="方正小标宋简体" w:hAnsi="方正小标宋简体" w:eastAsia="方正小标宋简体" w:cs="方正小标宋简体"/>
          <w:color w:val="auto"/>
          <w:sz w:val="40"/>
          <w:szCs w:val="40"/>
          <w:lang w:eastAsia="zh-CN"/>
        </w:rPr>
        <w:t>“</w:t>
      </w:r>
      <w:r>
        <w:rPr>
          <w:rFonts w:hint="eastAsia" w:ascii="方正小标宋简体" w:hAnsi="方正小标宋简体" w:eastAsia="方正小标宋简体" w:cs="方正小标宋简体"/>
          <w:color w:val="auto"/>
          <w:sz w:val="40"/>
          <w:szCs w:val="40"/>
        </w:rPr>
        <w:t>十五五</w:t>
      </w:r>
      <w:r>
        <w:rPr>
          <w:rFonts w:hint="eastAsia" w:ascii="方正小标宋简体" w:hAnsi="方正小标宋简体" w:eastAsia="方正小标宋简体" w:cs="方正小标宋简体"/>
          <w:color w:val="auto"/>
          <w:sz w:val="40"/>
          <w:szCs w:val="40"/>
          <w:lang w:eastAsia="zh-CN"/>
        </w:rPr>
        <w:t>”</w:t>
      </w:r>
      <w:r>
        <w:rPr>
          <w:rFonts w:hint="eastAsia" w:ascii="方正小标宋简体" w:hAnsi="方正小标宋简体" w:eastAsia="方正小标宋简体" w:cs="方正小标宋简体"/>
          <w:color w:val="auto"/>
          <w:sz w:val="40"/>
          <w:szCs w:val="40"/>
        </w:rPr>
        <w:t>规划</w:t>
      </w:r>
    </w:p>
    <w:p w14:paraId="76823B2A">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“十五五”时期</w:t>
      </w:r>
      <w:r>
        <w:rPr>
          <w:rFonts w:hint="eastAsia" w:ascii="仿宋_GB2312" w:hAnsi="仿宋_GB2312" w:eastAsia="仿宋_GB2312" w:cs="仿宋_GB2312"/>
          <w:color w:val="auto"/>
          <w:highlight w:val="none"/>
          <w:lang w:eastAsia="zh-CN"/>
        </w:rPr>
        <w:t>（</w:t>
      </w:r>
      <w:r>
        <w:rPr>
          <w:rFonts w:hint="default" w:ascii="Times New Roman" w:hAnsi="Times New Roman" w:eastAsia="仿宋_GB2312" w:cs="Times New Roman"/>
          <w:color w:val="auto"/>
          <w:highlight w:val="none"/>
          <w:lang w:val="en-US" w:eastAsia="zh-CN"/>
        </w:rPr>
        <w:t>2026—2030</w:t>
      </w:r>
      <w:r>
        <w:rPr>
          <w:rFonts w:hint="eastAsia" w:ascii="仿宋_GB2312" w:hAnsi="仿宋_GB2312" w:eastAsia="仿宋_GB2312" w:cs="仿宋_GB2312"/>
          <w:color w:val="auto"/>
          <w:highlight w:val="none"/>
          <w:lang w:val="en-US" w:eastAsia="zh-CN"/>
        </w:rPr>
        <w:t>年</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是我国基本实现社会主义现代化夯实基础、全面发力的关键时期，也是托克托经济开发区（以下简称“园区”）实现智能化、绿色化、融合化起势成势发展的关键之年。根据国家、自治区、呼和浩特市、托克托县“十五五”规划纲要，特制定《呼和浩特托克托经济开发区“十五五”规划》。</w:t>
      </w:r>
    </w:p>
    <w:p w14:paraId="5C125DB0">
      <w:pPr>
        <w:pStyle w:val="2"/>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一、总体要求</w:t>
      </w:r>
    </w:p>
    <w:p w14:paraId="5506B492">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以习近平新时代中国特色社会主义思想为指导，深入贯彻党的二十大和二十届历次全会精神，以铸牢中华民族共同体意识为主线，落实自治区党委</w:t>
      </w:r>
      <w:r>
        <w:rPr>
          <w:rFonts w:hint="eastAsia" w:ascii="仿宋_GB2312" w:hAnsi="仿宋_GB2312" w:eastAsia="仿宋_GB2312" w:cs="仿宋_GB2312"/>
          <w:color w:val="auto"/>
          <w:highlight w:val="none"/>
          <w:lang w:eastAsia="zh-CN"/>
        </w:rPr>
        <w:t>“</w:t>
      </w:r>
      <w:r>
        <w:rPr>
          <w:rFonts w:hint="default" w:ascii="Times New Roman" w:hAnsi="Times New Roman" w:eastAsia="仿宋_GB2312" w:cs="Times New Roman"/>
          <w:color w:val="auto"/>
          <w:highlight w:val="none"/>
        </w:rPr>
        <w:t>1571</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工作部署，锚定</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百户规上、千亿园区、工业强县</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目标，做强清洁能源、生物制造、新材料三大主导产业，做优智慧物流、循环经济两个特色产业，引导园区特色化、集约化、数智化、绿色化、规范化发展。到</w:t>
      </w:r>
      <w:r>
        <w:rPr>
          <w:rFonts w:hint="default" w:ascii="Times New Roman" w:hAnsi="Times New Roman" w:eastAsia="仿宋_GB2312" w:cs="Times New Roman"/>
          <w:color w:val="auto"/>
          <w:highlight w:val="none"/>
        </w:rPr>
        <w:t>2030</w:t>
      </w:r>
      <w:r>
        <w:rPr>
          <w:rFonts w:hint="eastAsia" w:ascii="仿宋_GB2312" w:hAnsi="仿宋_GB2312" w:eastAsia="仿宋_GB2312" w:cs="仿宋_GB2312"/>
          <w:color w:val="auto"/>
          <w:highlight w:val="none"/>
        </w:rPr>
        <w:t>年，</w:t>
      </w:r>
      <w:r>
        <w:rPr>
          <w:rFonts w:hint="eastAsia" w:ascii="仿宋_GB2312" w:hAnsi="仿宋_GB2312" w:eastAsia="仿宋_GB2312" w:cs="仿宋_GB2312"/>
          <w:color w:val="auto"/>
          <w:highlight w:val="none"/>
          <w:lang w:val="en-US" w:eastAsia="zh-CN"/>
        </w:rPr>
        <w:t>综合实力显著提升，规上工业增加值增速达</w:t>
      </w:r>
      <w:r>
        <w:rPr>
          <w:rFonts w:hint="eastAsia" w:ascii="Times New Roman" w:hAnsi="Times New Roman" w:eastAsia="仿宋_GB2312" w:cs="Times New Roman"/>
          <w:color w:val="auto"/>
          <w:highlight w:val="none"/>
          <w:lang w:val="en-US" w:eastAsia="zh-CN"/>
        </w:rPr>
        <w:t>6.5%</w:t>
      </w:r>
      <w:r>
        <w:rPr>
          <w:rFonts w:hint="eastAsia" w:ascii="仿宋_GB2312" w:hAnsi="仿宋_GB2312" w:eastAsia="仿宋_GB2312" w:cs="仿宋_GB2312"/>
          <w:color w:val="auto"/>
          <w:highlight w:val="none"/>
          <w:lang w:val="en-US" w:eastAsia="zh-CN"/>
        </w:rPr>
        <w:t>，</w:t>
      </w:r>
      <w:r>
        <w:rPr>
          <w:rFonts w:hint="eastAsia" w:ascii="仿宋_GB2312" w:hAnsi="仿宋_GB2312" w:eastAsia="仿宋_GB2312" w:cs="仿宋_GB2312"/>
          <w:color w:val="auto"/>
          <w:highlight w:val="none"/>
        </w:rPr>
        <w:t>规上工业企业超过</w:t>
      </w:r>
      <w:r>
        <w:rPr>
          <w:rFonts w:hint="eastAsia" w:ascii="Times New Roman" w:hAnsi="Times New Roman" w:eastAsia="仿宋_GB2312" w:cs="Times New Roman"/>
          <w:color w:val="auto"/>
          <w:highlight w:val="none"/>
          <w:lang w:val="en-US" w:eastAsia="zh-CN"/>
        </w:rPr>
        <w:t>50</w:t>
      </w:r>
      <w:r>
        <w:rPr>
          <w:rFonts w:hint="eastAsia" w:ascii="仿宋_GB2312" w:hAnsi="仿宋_GB2312" w:eastAsia="仿宋_GB2312" w:cs="仿宋_GB2312"/>
          <w:color w:val="auto"/>
          <w:highlight w:val="none"/>
        </w:rPr>
        <w:t>户</w:t>
      </w:r>
      <w:r>
        <w:rPr>
          <w:rFonts w:hint="eastAsia" w:ascii="仿宋_GB2312" w:hAnsi="仿宋_GB2312" w:eastAsia="仿宋_GB2312" w:cs="仿宋_GB2312"/>
          <w:color w:val="auto"/>
          <w:highlight w:val="none"/>
          <w:lang w:val="en-US" w:eastAsia="zh-CN"/>
        </w:rPr>
        <w:t>，</w:t>
      </w:r>
      <w:r>
        <w:rPr>
          <w:rFonts w:hint="eastAsia" w:ascii="仿宋_GB2312" w:hAnsi="仿宋_GB2312" w:eastAsia="仿宋_GB2312" w:cs="仿宋_GB2312"/>
          <w:color w:val="auto"/>
          <w:highlight w:val="none"/>
        </w:rPr>
        <w:t>基本建成首府沿黄产业带核心区、千亿级自治区一类工业园区、自治区级高新技术产业开发区。</w:t>
      </w:r>
      <w:r>
        <w:rPr>
          <w:rFonts w:hint="eastAsia" w:ascii="仿宋_GB2312" w:hAnsi="仿宋_GB2312" w:eastAsia="仿宋_GB2312" w:cs="仿宋_GB2312"/>
          <w:color w:val="auto"/>
          <w:highlight w:val="none"/>
          <w:lang w:val="en-US" w:eastAsia="zh-CN"/>
        </w:rPr>
        <w:t>创新水平不断提升，到</w:t>
      </w:r>
      <w:r>
        <w:rPr>
          <w:rFonts w:hint="eastAsia" w:ascii="Times New Roman" w:hAnsi="Times New Roman" w:eastAsia="仿宋_GB2312" w:cs="Times New Roman"/>
          <w:color w:val="auto"/>
          <w:highlight w:val="none"/>
          <w:lang w:val="en-US" w:eastAsia="zh-CN"/>
        </w:rPr>
        <w:t>2030</w:t>
      </w:r>
      <w:r>
        <w:rPr>
          <w:rFonts w:hint="eastAsia" w:ascii="仿宋_GB2312" w:hAnsi="仿宋_GB2312" w:eastAsia="仿宋_GB2312" w:cs="仿宋_GB2312"/>
          <w:color w:val="auto"/>
          <w:highlight w:val="none"/>
          <w:lang w:val="en-US" w:eastAsia="zh-CN"/>
        </w:rPr>
        <w:t>年，规上工业企业</w:t>
      </w:r>
      <w:r>
        <w:rPr>
          <w:rFonts w:hint="eastAsia" w:ascii="Times New Roman" w:hAnsi="Times New Roman" w:eastAsia="仿宋_GB2312" w:cs="Times New Roman"/>
          <w:color w:val="auto"/>
          <w:highlight w:val="none"/>
          <w:lang w:val="en-US" w:eastAsia="zh-CN"/>
        </w:rPr>
        <w:t>R&amp;D</w:t>
      </w:r>
      <w:r>
        <w:rPr>
          <w:rFonts w:hint="eastAsia" w:ascii="仿宋_GB2312" w:hAnsi="仿宋_GB2312" w:eastAsia="仿宋_GB2312" w:cs="仿宋_GB2312"/>
          <w:color w:val="auto"/>
          <w:highlight w:val="none"/>
          <w:lang w:val="en-US" w:eastAsia="zh-CN"/>
        </w:rPr>
        <w:t>经费支出占营业收入比重</w:t>
      </w:r>
      <w:r>
        <w:rPr>
          <w:rFonts w:hint="eastAsia" w:ascii="Times New Roman" w:hAnsi="Times New Roman" w:cs="Times New Roman"/>
          <w:color w:val="auto"/>
          <w:highlight w:val="none"/>
          <w:lang w:val="en-US" w:eastAsia="zh-CN"/>
        </w:rPr>
        <w:t>1.5</w:t>
      </w:r>
      <w:r>
        <w:rPr>
          <w:rFonts w:hint="eastAsia" w:ascii="Times New Roman" w:hAnsi="Times New Roman" w:eastAsia="仿宋_GB2312" w:cs="Times New Roman"/>
          <w:color w:val="auto"/>
          <w:highlight w:val="none"/>
          <w:lang w:val="en-US" w:eastAsia="zh-CN"/>
        </w:rPr>
        <w:t>%</w:t>
      </w:r>
      <w:r>
        <w:rPr>
          <w:rFonts w:hint="eastAsia" w:ascii="仿宋_GB2312" w:hAnsi="仿宋_GB2312" w:eastAsia="仿宋_GB2312" w:cs="仿宋_GB2312"/>
          <w:color w:val="auto"/>
          <w:highlight w:val="none"/>
          <w:lang w:val="en-US" w:eastAsia="zh-CN"/>
        </w:rPr>
        <w:t>，</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专精特新”中小企业达</w:t>
      </w:r>
      <w:r>
        <w:rPr>
          <w:rFonts w:hint="eastAsia" w:ascii="Times New Roman" w:hAnsi="Times New Roman" w:eastAsia="仿宋_GB2312" w:cs="Times New Roman"/>
          <w:color w:val="auto"/>
          <w:highlight w:val="none"/>
          <w:lang w:val="en-US" w:eastAsia="zh-CN"/>
        </w:rPr>
        <w:t>15</w:t>
      </w:r>
      <w:r>
        <w:rPr>
          <w:rFonts w:hint="eastAsia" w:ascii="仿宋_GB2312" w:hAnsi="仿宋_GB2312" w:eastAsia="仿宋_GB2312" w:cs="仿宋_GB2312"/>
          <w:color w:val="auto"/>
          <w:highlight w:val="none"/>
          <w:lang w:val="en-US" w:eastAsia="zh-CN"/>
        </w:rPr>
        <w:t>家，</w:t>
      </w:r>
      <w:r>
        <w:rPr>
          <w:rFonts w:hint="eastAsia"/>
          <w:b w:val="0"/>
          <w:bCs w:val="0"/>
          <w:lang w:val="en-US" w:eastAsia="zh-CN"/>
        </w:rPr>
        <w:t>自治区级及以上企业技术中心数量超过16家</w:t>
      </w:r>
      <w:r>
        <w:rPr>
          <w:rFonts w:hint="eastAsia" w:ascii="仿宋_GB2312" w:hAnsi="仿宋_GB2312" w:eastAsia="仿宋_GB2312" w:cs="仿宋_GB2312"/>
          <w:color w:val="auto"/>
          <w:highlight w:val="none"/>
          <w:lang w:val="en-US" w:eastAsia="zh-CN"/>
        </w:rPr>
        <w:t>。绿色转型成效显著。到</w:t>
      </w:r>
      <w:r>
        <w:rPr>
          <w:rFonts w:hint="eastAsia" w:ascii="Times New Roman" w:hAnsi="Times New Roman" w:eastAsia="仿宋_GB2312" w:cs="Times New Roman"/>
          <w:color w:val="auto"/>
          <w:highlight w:val="none"/>
          <w:lang w:val="en-US" w:eastAsia="zh-CN"/>
        </w:rPr>
        <w:t>2030</w:t>
      </w:r>
      <w:r>
        <w:rPr>
          <w:rFonts w:hint="eastAsia" w:ascii="仿宋_GB2312" w:hAnsi="仿宋_GB2312" w:eastAsia="仿宋_GB2312" w:cs="仿宋_GB2312"/>
          <w:color w:val="auto"/>
          <w:highlight w:val="none"/>
          <w:lang w:val="en-US" w:eastAsia="zh-CN"/>
        </w:rPr>
        <w:t>年，园区单位工业增加值能耗累计降幅完成上级下达目标，单位工业增加值水耗累计降幅完成上级下达目标，国家级绿色工厂达</w:t>
      </w:r>
      <w:r>
        <w:rPr>
          <w:rFonts w:hint="eastAsia" w:ascii="Times New Roman" w:hAnsi="Times New Roman" w:eastAsia="仿宋_GB2312" w:cs="Times New Roman"/>
          <w:color w:val="auto"/>
          <w:highlight w:val="none"/>
          <w:lang w:val="en-US" w:eastAsia="zh-CN"/>
        </w:rPr>
        <w:t>8</w:t>
      </w:r>
      <w:r>
        <w:rPr>
          <w:rFonts w:hint="eastAsia" w:ascii="仿宋_GB2312" w:hAnsi="仿宋_GB2312" w:eastAsia="仿宋_GB2312" w:cs="仿宋_GB2312"/>
          <w:color w:val="auto"/>
          <w:highlight w:val="none"/>
          <w:lang w:val="en-US" w:eastAsia="zh-CN"/>
        </w:rPr>
        <w:t>家。</w:t>
      </w:r>
    </w:p>
    <w:p w14:paraId="5F0E3181">
      <w:pPr>
        <w:pStyle w:val="2"/>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二、推动三大主导产业提质增效</w:t>
      </w:r>
    </w:p>
    <w:p w14:paraId="63E72BD3">
      <w:pPr>
        <w:pStyle w:val="4"/>
        <w:keepNext w:val="0"/>
        <w:keepLines w:val="0"/>
        <w:pageBreakBefore w:val="0"/>
        <w:widowControl w:val="0"/>
        <w:kinsoku/>
        <w:wordWrap/>
        <w:overflowPunct/>
        <w:topLinePunct w:val="0"/>
        <w:autoSpaceDE/>
        <w:autoSpaceDN/>
        <w:bidi w:val="0"/>
        <w:adjustRightInd/>
        <w:snapToGrid/>
        <w:textAlignment w:val="auto"/>
        <w:rPr>
          <w:rFonts w:hint="eastAsia" w:ascii="楷体_GB2312" w:hAnsi="楷体_GB2312" w:eastAsia="楷体_GB2312" w:cs="楷体_GB2312"/>
          <w:color w:val="auto"/>
        </w:rPr>
      </w:pPr>
      <w:r>
        <w:rPr>
          <w:color w:val="auto"/>
        </w:rPr>
        <w:t>（一）构建</w:t>
      </w:r>
      <w:r>
        <w:rPr>
          <w:rFonts w:hint="eastAsia"/>
          <w:color w:val="auto"/>
          <w:lang w:eastAsia="zh-CN"/>
        </w:rPr>
        <w:t>“</w:t>
      </w:r>
      <w:r>
        <w:rPr>
          <w:color w:val="auto"/>
        </w:rPr>
        <w:t>风光火氢储</w:t>
      </w:r>
      <w:r>
        <w:rPr>
          <w:rFonts w:hint="eastAsia"/>
          <w:color w:val="auto"/>
          <w:lang w:eastAsia="zh-CN"/>
        </w:rPr>
        <w:t>”</w:t>
      </w:r>
      <w:r>
        <w:rPr>
          <w:color w:val="auto"/>
        </w:rPr>
        <w:t>多能互补清洁能源</w:t>
      </w:r>
    </w:p>
    <w:p w14:paraId="52012D47">
      <w:pPr>
        <w:pStyle w:val="3"/>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color w:val="auto"/>
        </w:rPr>
      </w:pPr>
      <w:r>
        <w:rPr>
          <w:b/>
          <w:bCs/>
          <w:color w:val="auto"/>
        </w:rPr>
        <w:t>建设</w:t>
      </w:r>
      <w:r>
        <w:rPr>
          <w:rFonts w:hint="eastAsia"/>
          <w:b/>
          <w:bCs/>
          <w:color w:val="auto"/>
          <w:lang w:val="en-US" w:eastAsia="zh-CN"/>
        </w:rPr>
        <w:t>新一代</w:t>
      </w:r>
      <w:r>
        <w:rPr>
          <w:b/>
          <w:bCs/>
          <w:color w:val="auto"/>
        </w:rPr>
        <w:t>综合能源基地。</w:t>
      </w:r>
      <w:r>
        <w:rPr>
          <w:rFonts w:hint="eastAsia" w:ascii="仿宋_GB2312" w:hAnsi="仿宋_GB2312" w:eastAsia="仿宋_GB2312" w:cs="仿宋_GB2312"/>
          <w:color w:val="auto"/>
          <w:lang w:val="en-US" w:eastAsia="zh-CN"/>
        </w:rPr>
        <w:t>全力</w:t>
      </w:r>
      <w:r>
        <w:rPr>
          <w:rFonts w:hint="eastAsia" w:ascii="仿宋_GB2312" w:hAnsi="仿宋_GB2312" w:eastAsia="仿宋_GB2312" w:cs="仿宋_GB2312"/>
          <w:color w:val="auto"/>
        </w:rPr>
        <w:t>保障大唐托电稳定运行，争取千万千瓦级新一代煤电综合能源基地项目落地，推进</w:t>
      </w:r>
      <w:r>
        <w:rPr>
          <w:rFonts w:hint="eastAsia" w:ascii="Times New Roman" w:hAnsi="Times New Roman" w:eastAsia="仿宋_GB2312" w:cs="Times New Roman"/>
          <w:color w:val="auto"/>
          <w:sz w:val="32"/>
          <w:szCs w:val="24"/>
          <w:highlight w:val="none"/>
          <w:lang w:val="en-US" w:eastAsia="zh-CN" w:bidi="ar-SA"/>
        </w:rPr>
        <w:t>2×100</w:t>
      </w:r>
      <w:r>
        <w:rPr>
          <w:rFonts w:hint="eastAsia" w:ascii="仿宋_GB2312" w:hAnsi="仿宋_GB2312" w:eastAsia="仿宋_GB2312" w:cs="仿宋_GB2312"/>
          <w:color w:val="auto"/>
        </w:rPr>
        <w:t>万千瓦</w:t>
      </w:r>
      <w:r>
        <w:rPr>
          <w:rFonts w:hint="eastAsia" w:ascii="仿宋_GB2312" w:hAnsi="仿宋_GB2312" w:eastAsia="仿宋_GB2312" w:cs="仿宋_GB2312"/>
          <w:b w:val="0"/>
          <w:bCs w:val="0"/>
          <w:color w:val="auto"/>
          <w:highlight w:val="none"/>
          <w:lang w:val="en-US" w:eastAsia="zh-CN"/>
        </w:rPr>
        <w:t>高效超超临界煤电项目前期与核准，积极推动大唐托电风光储充一体化等项目尽早开工</w:t>
      </w:r>
      <w:r>
        <w:rPr>
          <w:rFonts w:hint="eastAsia" w:ascii="仿宋_GB2312" w:hAnsi="仿宋_GB2312" w:eastAsia="仿宋_GB2312" w:cs="仿宋_GB2312"/>
          <w:color w:val="auto"/>
        </w:rPr>
        <w:t>。实施煤电</w:t>
      </w:r>
      <w:r>
        <w:rPr>
          <w:rFonts w:hint="eastAsia" w:ascii="仿宋_GB2312" w:hAnsi="仿宋_GB2312" w:eastAsia="仿宋_GB2312" w:cs="仿宋_GB2312"/>
          <w:color w:val="auto"/>
          <w:lang w:eastAsia="zh-CN"/>
        </w:rPr>
        <w:t>“三改联动”</w:t>
      </w:r>
      <w:r>
        <w:rPr>
          <w:rFonts w:hint="eastAsia" w:ascii="仿宋_GB2312" w:hAnsi="仿宋_GB2312" w:eastAsia="仿宋_GB2312" w:cs="仿宋_GB2312"/>
          <w:color w:val="auto"/>
        </w:rPr>
        <w:t>，力争</w:t>
      </w:r>
      <w:r>
        <w:rPr>
          <w:rFonts w:hint="eastAsia" w:ascii="Times New Roman" w:hAnsi="Times New Roman" w:eastAsia="仿宋_GB2312" w:cs="Times New Roman"/>
          <w:color w:val="auto"/>
          <w:sz w:val="32"/>
          <w:szCs w:val="24"/>
          <w:highlight w:val="none"/>
          <w:lang w:val="en-US" w:eastAsia="zh-CN" w:bidi="ar-SA"/>
        </w:rPr>
        <w:t>2028</w:t>
      </w:r>
      <w:r>
        <w:rPr>
          <w:rFonts w:hint="eastAsia" w:ascii="仿宋_GB2312" w:hAnsi="仿宋_GB2312" w:eastAsia="仿宋_GB2312" w:cs="仿宋_GB2312"/>
          <w:color w:val="auto"/>
        </w:rPr>
        <w:t>年前</w:t>
      </w:r>
      <w:r>
        <w:rPr>
          <w:rFonts w:hint="eastAsia" w:ascii="仿宋_GB2312" w:hAnsi="仿宋_GB2312" w:eastAsia="仿宋_GB2312" w:cs="仿宋_GB2312"/>
          <w:color w:val="auto"/>
          <w:lang w:val="en-US" w:eastAsia="zh-CN"/>
        </w:rPr>
        <w:t>按需完成呼市城区长输</w:t>
      </w:r>
      <w:r>
        <w:rPr>
          <w:rFonts w:hint="eastAsia" w:ascii="仿宋_GB2312" w:hAnsi="仿宋_GB2312" w:eastAsia="仿宋_GB2312" w:cs="仿宋_GB2312"/>
          <w:color w:val="auto"/>
        </w:rPr>
        <w:t>供热面积。</w:t>
      </w:r>
      <w:r>
        <w:rPr>
          <w:rFonts w:hint="eastAsia" w:ascii="仿宋_GB2312" w:hAnsi="仿宋_GB2312" w:eastAsia="仿宋_GB2312" w:cs="仿宋_GB2312"/>
          <w:color w:val="auto"/>
          <w:highlight w:val="none"/>
          <w:lang w:val="en-US" w:eastAsia="zh-CN"/>
        </w:rPr>
        <w:t>深化余压、余热、余能资源化利用合作，规划综合能源岛项目</w:t>
      </w:r>
      <w:r>
        <w:rPr>
          <w:rFonts w:hint="eastAsia" w:ascii="仿宋_GB2312" w:hAnsi="仿宋_GB2312" w:eastAsia="仿宋_GB2312" w:cs="仿宋_GB2312"/>
          <w:color w:val="auto"/>
        </w:rPr>
        <w:t>。</w:t>
      </w:r>
      <w:r>
        <w:rPr>
          <w:rFonts w:hint="eastAsia" w:ascii="仿宋_GB2312" w:hAnsi="仿宋_GB2312" w:eastAsia="仿宋_GB2312" w:cs="仿宋_GB2312"/>
          <w:color w:val="auto"/>
          <w:highlight w:val="none"/>
          <w:lang w:val="en-US" w:eastAsia="zh-CN"/>
        </w:rPr>
        <w:t>支持企业实施</w:t>
      </w:r>
      <w:r>
        <w:rPr>
          <w:rFonts w:hint="default" w:ascii="Times New Roman" w:hAnsi="Times New Roman" w:eastAsia="仿宋_GB2312" w:cs="Times New Roman"/>
          <w:color w:val="auto"/>
          <w:sz w:val="32"/>
          <w:szCs w:val="24"/>
          <w:highlight w:val="none"/>
          <w:lang w:val="en-US" w:eastAsia="zh-CN" w:bidi="ar-SA"/>
        </w:rPr>
        <w:t>CCER、CCUS</w:t>
      </w:r>
      <w:r>
        <w:rPr>
          <w:rFonts w:hint="eastAsia" w:ascii="仿宋_GB2312" w:hAnsi="仿宋_GB2312" w:eastAsia="仿宋_GB2312" w:cs="仿宋_GB2312"/>
          <w:color w:val="auto"/>
          <w:highlight w:val="none"/>
          <w:lang w:val="en-US" w:eastAsia="zh-CN"/>
        </w:rPr>
        <w:t>示范项目。</w:t>
      </w:r>
      <w:r>
        <w:rPr>
          <w:rFonts w:hint="eastAsia" w:ascii="仿宋_GB2312" w:hAnsi="仿宋_GB2312" w:eastAsia="仿宋_GB2312" w:cs="仿宋_GB2312"/>
          <w:color w:val="auto"/>
          <w:lang w:val="en-US" w:eastAsia="zh-CN"/>
        </w:rPr>
        <w:t>探索</w:t>
      </w:r>
      <w:r>
        <w:rPr>
          <w:rFonts w:hint="eastAsia" w:ascii="仿宋_GB2312" w:hAnsi="仿宋_GB2312" w:eastAsia="仿宋_GB2312" w:cs="仿宋_GB2312"/>
          <w:color w:val="auto"/>
        </w:rPr>
        <w:t>成立综合能源服务公司，建设园区智慧能源管理平台。</w:t>
      </w:r>
      <w:r>
        <w:rPr>
          <w:rFonts w:hint="eastAsia" w:ascii="仿宋_GB2312" w:hAnsi="仿宋_GB2312" w:eastAsia="仿宋_GB2312" w:cs="仿宋_GB2312"/>
          <w:color w:val="auto"/>
          <w:lang w:val="en-US" w:eastAsia="zh-CN"/>
        </w:rPr>
        <w:t>协同推进蒙西至京津冀直流输电工程配套电源建设，增强外送通道调节支撑能力。</w:t>
      </w:r>
    </w:p>
    <w:p w14:paraId="3E434BBA">
      <w:pPr>
        <w:pStyle w:val="3"/>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lang w:val="en-US" w:eastAsia="zh-CN"/>
        </w:rPr>
      </w:pPr>
      <w:r>
        <w:rPr>
          <w:b/>
          <w:bCs/>
          <w:color w:val="auto"/>
        </w:rPr>
        <w:t>打造</w:t>
      </w:r>
      <w:r>
        <w:rPr>
          <w:rFonts w:hint="eastAsia"/>
          <w:b/>
          <w:bCs/>
          <w:color w:val="auto"/>
          <w:lang w:val="en-US" w:eastAsia="zh-CN"/>
        </w:rPr>
        <w:t>绿电替代和高效消纳</w:t>
      </w:r>
      <w:r>
        <w:rPr>
          <w:b/>
          <w:bCs/>
          <w:color w:val="auto"/>
        </w:rPr>
        <w:t>区。</w:t>
      </w:r>
      <w:r>
        <w:rPr>
          <w:rFonts w:hint="eastAsia" w:ascii="仿宋_GB2312" w:hAnsi="仿宋_GB2312" w:eastAsia="仿宋_GB2312" w:cs="仿宋_GB2312"/>
          <w:color w:val="auto"/>
          <w:lang w:val="en-US" w:eastAsia="zh-CN"/>
        </w:rPr>
        <w:t>推动大唐风光储充一体化等项目建设，利用园区厂房屋顶、闲置空地资源建设分布式光伏电站。推动新能源与高载能产业深度融合，推动电解铝、蒙丰特钢等企业开展存量负荷绿电替代，指导企业加大绿电绿证市场化采购，全面提升绿电消费占比。大力推广新型储能规模化应用，推动大唐、双杰等企业储能项目落地实施。大力发展构网型储能，推进</w:t>
      </w:r>
      <w:r>
        <w:rPr>
          <w:rFonts w:hint="eastAsia" w:ascii="Times New Roman" w:hAnsi="Times New Roman" w:eastAsia="仿宋_GB2312" w:cs="Times New Roman"/>
          <w:color w:val="auto"/>
          <w:sz w:val="32"/>
          <w:szCs w:val="24"/>
          <w:highlight w:val="none"/>
          <w:lang w:val="en-US" w:eastAsia="zh-CN" w:bidi="ar-SA"/>
        </w:rPr>
        <w:t>2GW/8GWh</w:t>
      </w:r>
      <w:r>
        <w:rPr>
          <w:rFonts w:hint="eastAsia" w:ascii="仿宋_GB2312" w:hAnsi="仿宋_GB2312" w:eastAsia="仿宋_GB2312" w:cs="仿宋_GB2312"/>
          <w:color w:val="auto"/>
          <w:lang w:val="en-US" w:eastAsia="zh-CN"/>
        </w:rPr>
        <w:t>电网侧独立储能项目建设。支持久泰等企业开展灰氢提取，探索绿氢制甲醇、绿氨工程，推动氢燃料电池重卡、氢醇燃料重卡应用，建设加氢站</w:t>
      </w:r>
      <w:r>
        <w:rPr>
          <w:rFonts w:hint="eastAsia" w:ascii="Times New Roman" w:hAnsi="Times New Roman" w:eastAsia="仿宋_GB2312" w:cs="Times New Roman"/>
          <w:color w:val="auto"/>
          <w:sz w:val="32"/>
          <w:szCs w:val="24"/>
          <w:highlight w:val="none"/>
          <w:lang w:val="en-US" w:eastAsia="zh-CN" w:bidi="ar-SA"/>
        </w:rPr>
        <w:t>1—2</w:t>
      </w:r>
      <w:r>
        <w:rPr>
          <w:rFonts w:hint="eastAsia" w:ascii="仿宋_GB2312" w:hAnsi="仿宋_GB2312" w:eastAsia="仿宋_GB2312" w:cs="仿宋_GB2312"/>
          <w:color w:val="auto"/>
          <w:lang w:val="en-US" w:eastAsia="zh-CN"/>
        </w:rPr>
        <w:t>座。</w:t>
      </w:r>
    </w:p>
    <w:p w14:paraId="665D025C">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（二）建设国内一流生物制造产业基地</w:t>
      </w:r>
    </w:p>
    <w:p w14:paraId="3E1E4988">
      <w:pPr>
        <w:bidi w:val="0"/>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巩固提升生物医药产业。</w:t>
      </w:r>
      <w:r>
        <w:rPr>
          <w:rFonts w:hint="eastAsia" w:ascii="仿宋_GB2312" w:hAnsi="仿宋_GB2312" w:eastAsia="仿宋_GB2312" w:cs="仿宋_GB2312"/>
          <w:color w:val="auto"/>
          <w:lang w:val="en-US" w:eastAsia="zh-CN"/>
        </w:rPr>
        <w:t>推动传统发酵企业“智改数转网联”，建设供应链管控平台和自主工程化菌种系统平台。支持金达威、常盛、绿微康等龙头企业技改扩能，推动金达威万吨油脂项目、常盛制药生物酶法</w:t>
      </w:r>
      <w:r>
        <w:rPr>
          <w:rFonts w:hint="eastAsia" w:ascii="Times New Roman" w:hAnsi="Times New Roman" w:eastAsia="仿宋_GB2312" w:cs="Times New Roman"/>
          <w:color w:val="auto"/>
          <w:sz w:val="32"/>
          <w:szCs w:val="24"/>
          <w:highlight w:val="none"/>
          <w:lang w:val="en-US" w:eastAsia="zh-CN" w:bidi="ar-SA"/>
        </w:rPr>
        <w:t>PVK</w:t>
      </w:r>
      <w:r>
        <w:rPr>
          <w:rFonts w:hint="eastAsia" w:ascii="仿宋_GB2312" w:hAnsi="仿宋_GB2312" w:eastAsia="仿宋_GB2312" w:cs="仿宋_GB2312"/>
          <w:color w:val="auto"/>
          <w:lang w:val="en-US" w:eastAsia="zh-CN"/>
        </w:rPr>
        <w:t>产品生产线等项目建设。扩大辅酶</w:t>
      </w:r>
      <w:r>
        <w:rPr>
          <w:rFonts w:hint="eastAsia" w:ascii="Times New Roman" w:hAnsi="Times New Roman" w:eastAsia="仿宋_GB2312" w:cs="Times New Roman"/>
          <w:color w:val="auto"/>
          <w:sz w:val="32"/>
          <w:szCs w:val="24"/>
          <w:highlight w:val="none"/>
          <w:lang w:val="en-US" w:eastAsia="zh-CN" w:bidi="ar-SA"/>
        </w:rPr>
        <w:t>Q10</w:t>
      </w:r>
      <w:r>
        <w:rPr>
          <w:rFonts w:hint="eastAsia" w:ascii="仿宋_GB2312" w:hAnsi="仿宋_GB2312" w:eastAsia="仿宋_GB2312" w:cs="仿宋_GB2312"/>
          <w:color w:val="auto"/>
          <w:lang w:val="en-US" w:eastAsia="zh-CN"/>
        </w:rPr>
        <w:t>、金霉素、利福霉素等原料药规模，鼓励生物制药企业与高校、科研机构联合</w:t>
      </w:r>
      <w:r>
        <w:rPr>
          <w:rFonts w:hint="default" w:ascii="仿宋_GB2312" w:hAnsi="仿宋_GB2312" w:eastAsia="仿宋_GB2312" w:cs="仿宋_GB2312"/>
          <w:color w:val="auto"/>
          <w:lang w:val="en-US" w:eastAsia="zh-CN"/>
        </w:rPr>
        <w:t>攻关</w:t>
      </w:r>
      <w:r>
        <w:rPr>
          <w:rFonts w:hint="eastAsia" w:ascii="仿宋_GB2312" w:hAnsi="仿宋_GB2312" w:eastAsia="仿宋_GB2312" w:cs="仿宋_GB2312"/>
          <w:color w:val="auto"/>
          <w:lang w:val="en-US" w:eastAsia="zh-CN"/>
        </w:rPr>
        <w:t>，布局建设制剂生产线，</w:t>
      </w:r>
      <w:r>
        <w:rPr>
          <w:rFonts w:hint="default" w:ascii="仿宋_GB2312" w:hAnsi="仿宋_GB2312" w:eastAsia="仿宋_GB2312" w:cs="仿宋_GB2312"/>
          <w:color w:val="auto"/>
          <w:lang w:val="en-US" w:eastAsia="zh-CN"/>
        </w:rPr>
        <w:t>开发终端制剂产品</w:t>
      </w:r>
      <w:r>
        <w:rPr>
          <w:rFonts w:hint="eastAsia" w:ascii="仿宋_GB2312" w:hAnsi="仿宋_GB2312" w:eastAsia="仿宋_GB2312" w:cs="仿宋_GB2312"/>
          <w:color w:val="auto"/>
          <w:lang w:val="en-US" w:eastAsia="zh-CN"/>
        </w:rPr>
        <w:t>，实现“原料药+制剂”一体化。鼓励企业积极争取“两新”资金，加快更新改造低效、高耗能设备。</w:t>
      </w:r>
    </w:p>
    <w:p w14:paraId="54362A7B">
      <w:pPr>
        <w:pStyle w:val="3"/>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培育发展合成生物产业。</w:t>
      </w:r>
      <w:r>
        <w:rPr>
          <w:rFonts w:hint="eastAsia" w:ascii="仿宋_GB2312" w:hAnsi="仿宋_GB2312" w:eastAsia="仿宋_GB2312" w:cs="仿宋_GB2312"/>
          <w:color w:val="auto"/>
          <w:lang w:val="en-US" w:eastAsia="zh-CN"/>
        </w:rPr>
        <w:t>依托亨通小品种氨基酸基础，引入合成生物学技术改造传统氨基酸菌种，发展饲料级和食品级氨基酸。延伸发展三新食品及保健品，开发定制化营养包。加速饲用酶制剂、微新型生物饲料添加剂等中试放大，推动溢多利生物酶制剂项目、智元生物年产</w:t>
      </w:r>
      <w:r>
        <w:rPr>
          <w:rFonts w:hint="eastAsia" w:ascii="Times New Roman" w:hAnsi="Times New Roman" w:eastAsia="仿宋_GB2312" w:cs="Times New Roman"/>
          <w:color w:val="auto"/>
          <w:sz w:val="32"/>
          <w:szCs w:val="24"/>
          <w:highlight w:val="none"/>
          <w:lang w:val="en-US" w:eastAsia="zh-CN" w:bidi="ar-SA"/>
        </w:rPr>
        <w:t>5</w:t>
      </w:r>
      <w:r>
        <w:rPr>
          <w:rFonts w:hint="eastAsia" w:ascii="仿宋_GB2312" w:hAnsi="仿宋_GB2312" w:eastAsia="仿宋_GB2312" w:cs="仿宋_GB2312"/>
          <w:color w:val="auto"/>
          <w:lang w:val="en-US" w:eastAsia="zh-CN"/>
        </w:rPr>
        <w:t>万吨</w:t>
      </w:r>
      <w:r>
        <w:rPr>
          <w:rFonts w:hint="eastAsia" w:ascii="Times New Roman" w:hAnsi="Times New Roman" w:eastAsia="仿宋_GB2312" w:cs="Times New Roman"/>
          <w:color w:val="auto"/>
          <w:sz w:val="32"/>
          <w:szCs w:val="24"/>
          <w:highlight w:val="none"/>
          <w:lang w:val="en-US" w:eastAsia="zh-CN" w:bidi="ar-SA"/>
        </w:rPr>
        <w:t>HP1</w:t>
      </w:r>
      <w:r>
        <w:rPr>
          <w:rFonts w:hint="eastAsia" w:ascii="仿宋_GB2312" w:hAnsi="仿宋_GB2312" w:eastAsia="仿宋_GB2312" w:cs="仿宋_GB2312"/>
          <w:color w:val="auto"/>
          <w:lang w:val="en-US" w:eastAsia="zh-CN"/>
        </w:rPr>
        <w:t>等项目建设。探索利用工业尾气等含碳资源，布局工业尾气制饲料蛋白、二氧化碳人工合成淀粉项目。充分利用玉米淀粉、秸秆等可再生生物质资源，重点布局全生物降解塑料、生物基化学纤维及高性能生物基橡胶产业链。</w:t>
      </w:r>
    </w:p>
    <w:p w14:paraId="3728AFD0">
      <w:pPr>
        <w:pStyle w:val="3"/>
        <w:keepNext w:val="0"/>
        <w:keepLines w:val="0"/>
        <w:pageBreakBefore w:val="0"/>
        <w:widowControl w:val="0"/>
        <w:kinsoku/>
        <w:wordWrap/>
        <w:overflowPunct/>
        <w:topLinePunct w:val="0"/>
        <w:autoSpaceDE/>
        <w:autoSpaceDN/>
        <w:bidi w:val="0"/>
        <w:adjustRightInd/>
        <w:snapToGrid/>
        <w:jc w:val="both"/>
        <w:textAlignment w:val="auto"/>
        <w:rPr>
          <w:color w:val="auto"/>
        </w:rPr>
      </w:pPr>
      <w:r>
        <w:rPr>
          <w:rFonts w:hint="eastAsia" w:ascii="仿宋_GB2312" w:hAnsi="仿宋_GB2312" w:eastAsia="仿宋_GB2312" w:cs="仿宋_GB2312"/>
          <w:b/>
          <w:bCs/>
          <w:color w:val="auto"/>
          <w:sz w:val="36"/>
          <w:szCs w:val="36"/>
          <w:lang w:val="en-US" w:eastAsia="zh-CN"/>
        </w:rPr>
        <w:t>推动生物疫苗延链升级。</w:t>
      </w:r>
      <w:r>
        <w:rPr>
          <w:rFonts w:hint="eastAsia" w:ascii="仿宋_GB2312" w:hAnsi="仿宋_GB2312" w:eastAsia="仿宋_GB2312" w:cs="仿宋_GB2312"/>
          <w:color w:val="auto"/>
          <w:lang w:val="en-US" w:eastAsia="zh-CN"/>
        </w:rPr>
        <w:t>巩固猪圆环、布病疫苗等现有产品优势，积极拓展支原体、口蹄疫、牛结节性皮肤病等新品疫苗。力争</w:t>
      </w:r>
      <w:r>
        <w:rPr>
          <w:rFonts w:hint="eastAsia" w:ascii="Times New Roman" w:hAnsi="Times New Roman" w:eastAsia="仿宋_GB2312" w:cs="Times New Roman"/>
          <w:color w:val="auto"/>
          <w:sz w:val="32"/>
          <w:szCs w:val="24"/>
          <w:highlight w:val="none"/>
          <w:lang w:val="en-US" w:eastAsia="zh-CN" w:bidi="ar-SA"/>
        </w:rPr>
        <w:t>P3</w:t>
      </w:r>
      <w:r>
        <w:rPr>
          <w:rFonts w:hint="eastAsia" w:ascii="仿宋_GB2312" w:hAnsi="仿宋_GB2312" w:eastAsia="仿宋_GB2312" w:cs="仿宋_GB2312"/>
          <w:color w:val="auto"/>
          <w:lang w:val="en-US" w:eastAsia="zh-CN"/>
        </w:rPr>
        <w:t>实验室国家立项与验收。主动对接培养基、血清、关键佐剂原辅料龙头企业，探索“订单式生产+定向供应”合作模式。布局宠物疫苗、诊断试剂盒等领域，加快犬瘟热、细小、狂犬等宠物疫苗研发与申报。</w:t>
      </w:r>
    </w:p>
    <w:p w14:paraId="210BED12">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（三）建设重要的新材料产业基地</w:t>
      </w:r>
    </w:p>
    <w:p w14:paraId="2C6296F6">
      <w:pPr>
        <w:pStyle w:val="3"/>
        <w:keepNext w:val="0"/>
        <w:keepLines w:val="0"/>
        <w:pageBreakBefore w:val="0"/>
        <w:widowControl w:val="0"/>
        <w:kinsoku/>
        <w:wordWrap/>
        <w:overflowPunct/>
        <w:topLinePunct w:val="0"/>
        <w:autoSpaceDE/>
        <w:autoSpaceDN/>
        <w:bidi w:val="0"/>
        <w:adjustRightInd/>
        <w:snapToGrid/>
        <w:textAlignment w:val="auto"/>
        <w:rPr>
          <w:color w:val="auto"/>
          <w:highlight w:val="none"/>
        </w:rPr>
      </w:pPr>
      <w:r>
        <w:rPr>
          <w:b/>
          <w:bCs/>
          <w:color w:val="auto"/>
          <w:highlight w:val="none"/>
        </w:rPr>
        <w:t>推动化工新材料绿色化、高端化发展。</w:t>
      </w:r>
      <w:r>
        <w:rPr>
          <w:color w:val="auto"/>
          <w:highlight w:val="none"/>
        </w:rPr>
        <w:t>持续优化煤制甲醇、合成氨、聚甲醛等基础产业，推动久泰</w:t>
      </w:r>
      <w:r>
        <w:rPr>
          <w:rFonts w:hint="eastAsia" w:ascii="Times New Roman" w:hAnsi="Times New Roman" w:eastAsia="仿宋_GB2312" w:cs="Times New Roman"/>
          <w:color w:val="auto"/>
          <w:sz w:val="32"/>
          <w:szCs w:val="24"/>
          <w:highlight w:val="none"/>
          <w:lang w:val="en-US" w:eastAsia="zh-CN" w:bidi="ar-SA"/>
        </w:rPr>
        <w:t>100</w:t>
      </w:r>
      <w:r>
        <w:rPr>
          <w:color w:val="auto"/>
          <w:highlight w:val="none"/>
        </w:rPr>
        <w:t>万吨乙二醇项目尽快投产达效。</w:t>
      </w:r>
      <w:r>
        <w:rPr>
          <w:rFonts w:hint="eastAsia"/>
          <w:color w:val="auto"/>
          <w:highlight w:val="none"/>
          <w:lang w:val="en-US" w:eastAsia="zh-CN"/>
        </w:rPr>
        <w:t>推动</w:t>
      </w:r>
      <w:r>
        <w:rPr>
          <w:rFonts w:hint="eastAsia" w:ascii="Times New Roman" w:hAnsi="Times New Roman" w:eastAsia="仿宋_GB2312" w:cs="Times New Roman"/>
          <w:color w:val="auto"/>
          <w:sz w:val="32"/>
          <w:szCs w:val="24"/>
          <w:highlight w:val="none"/>
          <w:lang w:val="en-US" w:eastAsia="zh-CN" w:bidi="ar-SA"/>
        </w:rPr>
        <w:t>PGA</w:t>
      </w:r>
      <w:r>
        <w:rPr>
          <w:color w:val="auto"/>
          <w:highlight w:val="none"/>
        </w:rPr>
        <w:t>中试成果产业化生产。推进延伸发展</w:t>
      </w:r>
      <w:r>
        <w:rPr>
          <w:rFonts w:hint="eastAsia" w:ascii="Times New Roman" w:hAnsi="Times New Roman" w:eastAsia="仿宋_GB2312" w:cs="Times New Roman"/>
          <w:color w:val="auto"/>
          <w:sz w:val="32"/>
          <w:szCs w:val="24"/>
          <w:highlight w:val="none"/>
          <w:lang w:val="en-US" w:eastAsia="zh-CN" w:bidi="ar-SA"/>
        </w:rPr>
        <w:t>PBS</w:t>
      </w:r>
      <w:r>
        <w:rPr>
          <w:color w:val="auto"/>
          <w:highlight w:val="none"/>
        </w:rPr>
        <w:t>及</w:t>
      </w:r>
      <w:r>
        <w:rPr>
          <w:rFonts w:hint="eastAsia" w:ascii="Times New Roman" w:hAnsi="Times New Roman" w:eastAsia="仿宋_GB2312" w:cs="Times New Roman"/>
          <w:color w:val="auto"/>
          <w:sz w:val="32"/>
          <w:szCs w:val="24"/>
          <w:highlight w:val="none"/>
          <w:lang w:val="en-US" w:eastAsia="zh-CN" w:bidi="ar-SA"/>
        </w:rPr>
        <w:t>PBAT</w:t>
      </w:r>
      <w:r>
        <w:rPr>
          <w:color w:val="auto"/>
          <w:highlight w:val="none"/>
        </w:rPr>
        <w:t>，配套开发</w:t>
      </w:r>
      <w:r>
        <w:rPr>
          <w:rFonts w:hint="eastAsia" w:ascii="Times New Roman" w:hAnsi="Times New Roman" w:eastAsia="仿宋_GB2312" w:cs="Times New Roman"/>
          <w:color w:val="auto"/>
          <w:sz w:val="32"/>
          <w:szCs w:val="24"/>
          <w:highlight w:val="none"/>
          <w:lang w:val="en-US" w:eastAsia="zh-CN" w:bidi="ar-SA"/>
        </w:rPr>
        <w:t>PTA</w:t>
      </w:r>
      <w:r>
        <w:rPr>
          <w:color w:val="auto"/>
          <w:highlight w:val="none"/>
        </w:rPr>
        <w:t>等原料。推动</w:t>
      </w:r>
      <w:r>
        <w:rPr>
          <w:rFonts w:hint="eastAsia"/>
          <w:color w:val="auto"/>
          <w:highlight w:val="none"/>
        </w:rPr>
        <w:t>年产</w:t>
      </w:r>
      <w:r>
        <w:rPr>
          <w:rFonts w:hint="eastAsia" w:ascii="Times New Roman" w:hAnsi="Times New Roman" w:eastAsia="仿宋_GB2312" w:cs="Times New Roman"/>
          <w:color w:val="auto"/>
          <w:sz w:val="32"/>
          <w:szCs w:val="24"/>
          <w:highlight w:val="none"/>
          <w:lang w:val="en-US" w:eastAsia="zh-CN" w:bidi="ar-SA"/>
        </w:rPr>
        <w:t>2×1</w:t>
      </w:r>
      <w:r>
        <w:rPr>
          <w:rFonts w:hint="eastAsia"/>
          <w:color w:val="auto"/>
          <w:highlight w:val="none"/>
        </w:rPr>
        <w:t>万吨二甲基亚砜</w:t>
      </w:r>
      <w:r>
        <w:rPr>
          <w:color w:val="auto"/>
          <w:highlight w:val="none"/>
        </w:rPr>
        <w:t>项目落地，延链建设</w:t>
      </w:r>
      <w:r>
        <w:rPr>
          <w:rFonts w:hint="eastAsia" w:ascii="Times New Roman" w:hAnsi="Times New Roman" w:eastAsia="仿宋_GB2312" w:cs="Times New Roman"/>
          <w:color w:val="auto"/>
          <w:sz w:val="32"/>
          <w:szCs w:val="24"/>
          <w:highlight w:val="none"/>
          <w:lang w:val="en-US" w:eastAsia="zh-CN" w:bidi="ar-SA"/>
        </w:rPr>
        <w:t>10</w:t>
      </w:r>
      <w:r>
        <w:rPr>
          <w:color w:val="auto"/>
          <w:highlight w:val="none"/>
        </w:rPr>
        <w:t>万吨/年</w:t>
      </w:r>
      <w:r>
        <w:rPr>
          <w:rFonts w:hint="eastAsia" w:ascii="Times New Roman" w:hAnsi="Times New Roman" w:eastAsia="仿宋_GB2312" w:cs="Times New Roman"/>
          <w:color w:val="auto"/>
          <w:sz w:val="32"/>
          <w:szCs w:val="24"/>
          <w:highlight w:val="none"/>
          <w:lang w:val="en-US" w:eastAsia="zh-CN" w:bidi="ar-SA"/>
        </w:rPr>
        <w:t>EVA</w:t>
      </w:r>
      <w:r>
        <w:rPr>
          <w:color w:val="auto"/>
          <w:highlight w:val="none"/>
        </w:rPr>
        <w:t>及</w:t>
      </w:r>
      <w:r>
        <w:rPr>
          <w:rFonts w:hint="eastAsia" w:ascii="Times New Roman" w:hAnsi="Times New Roman" w:eastAsia="仿宋_GB2312" w:cs="Times New Roman"/>
          <w:color w:val="auto"/>
          <w:sz w:val="32"/>
          <w:szCs w:val="24"/>
          <w:highlight w:val="none"/>
          <w:lang w:val="en-US" w:eastAsia="zh-CN" w:bidi="ar-SA"/>
        </w:rPr>
        <w:t>10</w:t>
      </w:r>
      <w:r>
        <w:rPr>
          <w:color w:val="auto"/>
          <w:highlight w:val="none"/>
        </w:rPr>
        <w:t>万吨/年</w:t>
      </w:r>
      <w:r>
        <w:rPr>
          <w:rFonts w:hint="eastAsia" w:ascii="Times New Roman" w:hAnsi="Times New Roman" w:eastAsia="仿宋_GB2312" w:cs="Times New Roman"/>
          <w:color w:val="auto"/>
          <w:sz w:val="32"/>
          <w:szCs w:val="24"/>
          <w:highlight w:val="none"/>
          <w:lang w:val="en-US" w:eastAsia="zh-CN" w:bidi="ar-SA"/>
        </w:rPr>
        <w:t>PVA</w:t>
      </w:r>
      <w:r>
        <w:rPr>
          <w:color w:val="auto"/>
          <w:highlight w:val="none"/>
        </w:rPr>
        <w:t>项目。推动久泰煤化工与可再生能源、绿氢、</w:t>
      </w:r>
      <w:r>
        <w:rPr>
          <w:rFonts w:hint="eastAsia" w:ascii="Times New Roman" w:hAnsi="Times New Roman" w:eastAsia="仿宋_GB2312" w:cs="Times New Roman"/>
          <w:color w:val="auto"/>
          <w:sz w:val="32"/>
          <w:szCs w:val="24"/>
          <w:highlight w:val="none"/>
          <w:lang w:val="en-US" w:eastAsia="zh-CN" w:bidi="ar-SA"/>
        </w:rPr>
        <w:t>CCUS</w:t>
      </w:r>
      <w:r>
        <w:rPr>
          <w:color w:val="auto"/>
          <w:highlight w:val="none"/>
        </w:rPr>
        <w:t>等耦合创新发展，回收富氢尾气建设加氢站及氢能应用端。</w:t>
      </w:r>
    </w:p>
    <w:p w14:paraId="036B6B01">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b/>
          <w:bCs/>
          <w:color w:val="auto"/>
        </w:rPr>
        <w:t>推动电子化学品全链条发展。</w:t>
      </w:r>
      <w:r>
        <w:rPr>
          <w:color w:val="auto"/>
        </w:rPr>
        <w:t>巩固中船一期产业基础，启动二期高纯电子气体项目建设，重点布局六氟化钨、六氟丁二烯、八氟环丁烷等高端电子特气。推动雅克科技电子材料</w:t>
      </w:r>
      <w:r>
        <w:rPr>
          <w:rFonts w:hint="eastAsia"/>
          <w:color w:val="auto"/>
          <w:lang w:val="en-US" w:eastAsia="zh-CN"/>
        </w:rPr>
        <w:t>一期</w:t>
      </w:r>
      <w:r>
        <w:rPr>
          <w:color w:val="auto"/>
        </w:rPr>
        <w:t>尽快投产达规，推进科美特二期项目</w:t>
      </w:r>
      <w:r>
        <w:rPr>
          <w:rFonts w:hint="eastAsia"/>
          <w:color w:val="auto"/>
          <w:lang w:val="en-US" w:eastAsia="zh-CN"/>
        </w:rPr>
        <w:t>落地</w:t>
      </w:r>
      <w:r>
        <w:rPr>
          <w:color w:val="auto"/>
        </w:rPr>
        <w:t>建设。引进大型空分装置，保障高纯氮气、氧气、氩气等大宗气体稳定供应。引进国内领先湿电子化学品企业，布局电子级氢氟酸、硫酸、双氧水、氨水、显影液等通用湿电子化学品</w:t>
      </w:r>
      <w:r>
        <w:rPr>
          <w:rFonts w:hint="eastAsia"/>
          <w:color w:val="auto"/>
          <w:lang w:eastAsia="zh-CN"/>
        </w:rPr>
        <w:t>。</w:t>
      </w:r>
      <w:r>
        <w:rPr>
          <w:color w:val="auto"/>
        </w:rPr>
        <w:t>依托中船特气、科美特等产业基础，向下游延伸发展</w:t>
      </w:r>
      <w:r>
        <w:rPr>
          <w:rFonts w:hint="default" w:ascii="Times New Roman" w:hAnsi="Times New Roman" w:eastAsia="仿宋_GB2312" w:cs="Times New Roman"/>
          <w:color w:val="auto"/>
          <w:sz w:val="32"/>
          <w:szCs w:val="24"/>
          <w:highlight w:val="none"/>
          <w:lang w:val="en-US" w:eastAsia="zh-CN" w:bidi="ar-SA"/>
        </w:rPr>
        <w:t>PTFE、PFA、FEP</w:t>
      </w:r>
      <w:r>
        <w:rPr>
          <w:color w:val="auto"/>
        </w:rPr>
        <w:t>等半导体设备用氟聚合物材料。布局电子级前驱体材料，发展高纯硅烷、钛酸四乙酯、四氯化铪等逻辑芯片和存储芯片用前驱体材料。</w:t>
      </w:r>
    </w:p>
    <w:p w14:paraId="68750645">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b/>
          <w:bCs/>
          <w:color w:val="auto"/>
        </w:rPr>
        <w:t>推动钢铝产业高端化发展。</w:t>
      </w:r>
      <w:r>
        <w:rPr>
          <w:color w:val="auto"/>
        </w:rPr>
        <w:t>依托</w:t>
      </w:r>
      <w:r>
        <w:rPr>
          <w:rFonts w:hint="eastAsia" w:ascii="Times New Roman" w:hAnsi="Times New Roman" w:eastAsia="仿宋_GB2312" w:cs="Times New Roman"/>
          <w:color w:val="auto"/>
          <w:sz w:val="32"/>
          <w:szCs w:val="24"/>
          <w:highlight w:val="none"/>
          <w:lang w:val="en-US" w:eastAsia="zh-CN" w:bidi="ar-SA"/>
        </w:rPr>
        <w:t>28.2</w:t>
      </w:r>
      <w:r>
        <w:rPr>
          <w:color w:val="auto"/>
        </w:rPr>
        <w:t>万吨电解铝指标及高质铝水资源，提质升级现有产品结构，向高纯铝、箔材、制品等中高端产品延伸。鼓励推广短流程一体化工艺。加快盘活蒙丰特钢</w:t>
      </w:r>
      <w:r>
        <w:rPr>
          <w:rFonts w:hint="eastAsia" w:ascii="Times New Roman" w:hAnsi="Times New Roman" w:eastAsia="仿宋_GB2312" w:cs="Times New Roman"/>
          <w:color w:val="auto"/>
          <w:sz w:val="32"/>
          <w:szCs w:val="24"/>
          <w:highlight w:val="none"/>
          <w:lang w:val="en-US" w:eastAsia="zh-CN" w:bidi="ar-SA"/>
        </w:rPr>
        <w:t>60</w:t>
      </w:r>
      <w:r>
        <w:rPr>
          <w:color w:val="auto"/>
        </w:rPr>
        <w:t>万吨钢铁指标，一体化争取铁合金及焦化产能指标，延伸钢材精深加工链条，开发风电塔筒用钢、耐腐蚀油井管、高性能轴承钢等高端特种钢材。</w:t>
      </w:r>
      <w:r>
        <w:rPr>
          <w:rFonts w:hint="eastAsia"/>
          <w:color w:val="auto"/>
          <w:lang w:val="en-US" w:eastAsia="zh-CN"/>
        </w:rPr>
        <w:t>探索</w:t>
      </w:r>
      <w:r>
        <w:rPr>
          <w:color w:val="auto"/>
        </w:rPr>
        <w:t>引进钢铝爆炸复合、轧制复合技术，</w:t>
      </w:r>
      <w:r>
        <w:rPr>
          <w:rFonts w:hint="eastAsia"/>
          <w:color w:val="auto"/>
          <w:lang w:val="en-US" w:eastAsia="zh-CN"/>
        </w:rPr>
        <w:t>布局</w:t>
      </w:r>
      <w:r>
        <w:rPr>
          <w:color w:val="auto"/>
        </w:rPr>
        <w:t>铝包钢导线、钢芯铝合金绞线等电工材料项目</w:t>
      </w:r>
      <w:r>
        <w:rPr>
          <w:rFonts w:hint="eastAsia"/>
          <w:color w:val="auto"/>
          <w:lang w:eastAsia="zh-CN"/>
        </w:rPr>
        <w:t>，</w:t>
      </w:r>
      <w:r>
        <w:rPr>
          <w:color w:val="auto"/>
        </w:rPr>
        <w:t>培育高端钢铝铸件及锻件产业。</w:t>
      </w:r>
    </w:p>
    <w:p w14:paraId="362CF069">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b/>
          <w:bCs/>
          <w:color w:val="auto"/>
        </w:rPr>
        <w:t>前瞻布局钛基新材料赛道。</w:t>
      </w:r>
      <w:r>
        <w:rPr>
          <w:color w:val="auto"/>
        </w:rPr>
        <w:t>专班推进中船</w:t>
      </w:r>
      <w:r>
        <w:rPr>
          <w:rFonts w:hint="eastAsia" w:ascii="Times New Roman" w:hAnsi="Times New Roman" w:eastAsia="仿宋_GB2312" w:cs="Times New Roman"/>
          <w:color w:val="auto"/>
          <w:sz w:val="32"/>
          <w:szCs w:val="24"/>
          <w:highlight w:val="none"/>
          <w:lang w:val="en-US" w:eastAsia="zh-CN" w:bidi="ar-SA"/>
        </w:rPr>
        <w:t>725</w:t>
      </w:r>
      <w:r>
        <w:rPr>
          <w:color w:val="auto"/>
        </w:rPr>
        <w:t>所</w:t>
      </w:r>
      <w:r>
        <w:rPr>
          <w:rFonts w:hint="eastAsia" w:ascii="Times New Roman" w:hAnsi="Times New Roman" w:eastAsia="仿宋_GB2312" w:cs="Times New Roman"/>
          <w:color w:val="auto"/>
          <w:sz w:val="32"/>
          <w:szCs w:val="24"/>
          <w:highlight w:val="none"/>
          <w:lang w:val="en-US" w:eastAsia="zh-CN" w:bidi="ar-SA"/>
        </w:rPr>
        <w:t>3</w:t>
      </w:r>
      <w:r>
        <w:rPr>
          <w:color w:val="auto"/>
        </w:rPr>
        <w:t>万吨海绵钛项目，向下游重点拓展钛合金铸锻件、化工防腐设备、海洋工程结构件等高附加值领域。主动对接宝钛股份、西部超导等行业龙头，招引一批钛材精深加工及配套企业。</w:t>
      </w:r>
    </w:p>
    <w:p w14:paraId="50735A39">
      <w:pPr>
        <w:pStyle w:val="2"/>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三、做强做优两大特色产业</w:t>
      </w:r>
    </w:p>
    <w:p w14:paraId="17B82885">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（一）打造区域智慧物流枢纽区</w:t>
      </w:r>
    </w:p>
    <w:p w14:paraId="32B60B78">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ascii="宋体" w:hAnsi="宋体" w:cs="宋体"/>
          <w:b/>
          <w:bCs/>
          <w:color w:val="auto"/>
          <w:lang w:val="en-US" w:eastAsia="zh-CN"/>
        </w:rPr>
        <w:t>打造过境资源集散交易中心。</w:t>
      </w:r>
      <w:r>
        <w:rPr>
          <w:color w:val="auto"/>
        </w:rPr>
        <w:t>依托托克托东站和嘉和煤炭物流园，接轨呼准铁路与嘉和煤炭物流园铁路专用线，打造首府规模最大、功能最全的综合性铁路集装箱货运中心和公铁联运</w:t>
      </w:r>
      <w:r>
        <w:rPr>
          <w:rFonts w:hint="eastAsia"/>
          <w:color w:val="auto"/>
          <w:lang w:eastAsia="zh-CN"/>
        </w:rPr>
        <w:t>陆港型国家物流枢纽</w:t>
      </w:r>
      <w:r>
        <w:rPr>
          <w:color w:val="auto"/>
        </w:rPr>
        <w:t>。扩大与旭阳中燃等企业合作，推广铁路专用线共用模式。探索建设集装箱堆场、散装货物装卸站、智能仓储中心等设施，发展</w:t>
      </w:r>
      <w:r>
        <w:rPr>
          <w:rFonts w:hint="eastAsia"/>
          <w:color w:val="auto"/>
          <w:lang w:eastAsia="zh-CN"/>
        </w:rPr>
        <w:t>“</w:t>
      </w:r>
      <w:r>
        <w:rPr>
          <w:color w:val="auto"/>
        </w:rPr>
        <w:t>铁路+公路+管道</w:t>
      </w:r>
      <w:r>
        <w:rPr>
          <w:rFonts w:hint="eastAsia"/>
          <w:color w:val="auto"/>
          <w:lang w:eastAsia="zh-CN"/>
        </w:rPr>
        <w:t>”</w:t>
      </w:r>
      <w:r>
        <w:rPr>
          <w:color w:val="auto"/>
        </w:rPr>
        <w:t>多式联运。争取扩大煤炭就地转化、过境仓储物流规模。探索发展特种钢管、铝合金、电子化学品等大宗工业成品物流，争取建设钢材、化工产品专业物流集散中心。</w:t>
      </w:r>
    </w:p>
    <w:p w14:paraId="097A3550">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ascii="宋体" w:hAnsi="宋体" w:cs="宋体"/>
          <w:b/>
          <w:bCs/>
          <w:color w:val="auto"/>
          <w:lang w:val="en-US" w:eastAsia="zh-CN"/>
        </w:rPr>
        <w:t>建设智慧物流绿色</w:t>
      </w:r>
      <w:r>
        <w:rPr>
          <w:rFonts w:hint="eastAsia" w:cs="宋体"/>
          <w:b/>
          <w:bCs/>
          <w:color w:val="auto"/>
          <w:lang w:val="en-US" w:eastAsia="zh-CN"/>
        </w:rPr>
        <w:t>陆港</w:t>
      </w:r>
      <w:r>
        <w:rPr>
          <w:rFonts w:hint="eastAsia" w:ascii="宋体" w:hAnsi="宋体" w:cs="宋体"/>
          <w:b/>
          <w:bCs/>
          <w:color w:val="auto"/>
          <w:lang w:val="en-US" w:eastAsia="zh-CN"/>
        </w:rPr>
        <w:t>枢纽区。</w:t>
      </w:r>
      <w:r>
        <w:rPr>
          <w:color w:val="auto"/>
        </w:rPr>
        <w:t>稳步扩大纯电动重卡、氢燃料电池重卡在大宗货物短驳运输中的应用规模，</w:t>
      </w:r>
      <w:r>
        <w:rPr>
          <w:rFonts w:hint="eastAsia" w:cs="Times New Roman"/>
          <w:color w:val="auto"/>
          <w:highlight w:val="none"/>
          <w:lang w:val="en-US" w:eastAsia="zh-CN"/>
        </w:rPr>
        <w:t>在嘉和煤炭物流园区、大唐托电周边及主要运输干线规划“绿卡专区、运煤绿区”，同步配套建设大功率充电桩、快速换电站等绿色补能设施</w:t>
      </w:r>
      <w:r>
        <w:rPr>
          <w:color w:val="auto"/>
        </w:rPr>
        <w:t>。</w:t>
      </w:r>
      <w:r>
        <w:rPr>
          <w:rFonts w:hint="eastAsia"/>
          <w:color w:val="auto"/>
          <w:lang w:val="en-US" w:eastAsia="zh-CN"/>
        </w:rPr>
        <w:t>加强</w:t>
      </w:r>
      <w:r>
        <w:rPr>
          <w:color w:val="auto"/>
        </w:rPr>
        <w:t>与综保区在保税物流、跨境电商等外向型经济领域深度合作，重点发展能源化工保税仓储和进出口物流、加工制造业保税物流等业态。建设大宗商品期货交割仓库，争取煤炭、有色金属等品种交割资质。发展物流金融服务，引入银行、保险、融资租赁等机构，开展仓单质押、运费保理、设备租赁等业务。</w:t>
      </w:r>
    </w:p>
    <w:p w14:paraId="2BDD42A3">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（二）建设重要循环经济园区</w:t>
      </w:r>
    </w:p>
    <w:p w14:paraId="73EB174F">
      <w:pPr>
        <w:pStyle w:val="3"/>
        <w:keepNext w:val="0"/>
        <w:keepLines w:val="0"/>
        <w:pageBreakBefore w:val="0"/>
        <w:widowControl w:val="0"/>
        <w:kinsoku/>
        <w:wordWrap/>
        <w:overflowPunct/>
        <w:topLinePunct w:val="0"/>
        <w:autoSpaceDE/>
        <w:autoSpaceDN/>
        <w:bidi w:val="0"/>
        <w:adjustRightInd/>
        <w:snapToGrid/>
        <w:textAlignment w:val="auto"/>
        <w:rPr>
          <w:rFonts w:hint="eastAsia"/>
          <w:color w:val="auto"/>
          <w:lang w:eastAsia="zh-CN"/>
        </w:rPr>
      </w:pPr>
      <w:r>
        <w:rPr>
          <w:rFonts w:hint="eastAsia"/>
          <w:b/>
          <w:bCs/>
          <w:color w:val="auto"/>
          <w:lang w:val="en-US" w:eastAsia="zh-CN"/>
        </w:rPr>
        <w:t>加强固体废物循环利用。</w:t>
      </w:r>
      <w:r>
        <w:rPr>
          <w:color w:val="auto"/>
        </w:rPr>
        <w:t>围绕大唐托电、呼铝电等年产</w:t>
      </w:r>
      <w:r>
        <w:rPr>
          <w:rFonts w:hint="eastAsia" w:ascii="Times New Roman" w:hAnsi="Times New Roman" w:eastAsia="仿宋_GB2312" w:cs="Times New Roman"/>
          <w:color w:val="auto"/>
          <w:sz w:val="32"/>
          <w:szCs w:val="24"/>
          <w:highlight w:val="none"/>
          <w:lang w:val="en-US" w:eastAsia="zh-CN" w:bidi="ar-SA"/>
        </w:rPr>
        <w:t>600</w:t>
      </w:r>
      <w:r>
        <w:rPr>
          <w:color w:val="auto"/>
        </w:rPr>
        <w:t>万吨粉煤灰、煤矸石、脱硫石膏等工业固废资源，推动其在金属提取、建材加工、小流域治理、土地改良、矿坑修复等领域综合利用。支持利用高铝粉煤灰回收铝资源等工艺试验及产业化。鼓励扩大蒸压粉煤灰砖、免烧砖等新型环保建材产能，发展粉煤灰基分子筛、沸石材料</w:t>
      </w:r>
      <w:r>
        <w:rPr>
          <w:rFonts w:hint="eastAsia"/>
          <w:color w:val="auto"/>
          <w:lang w:eastAsia="zh-CN"/>
        </w:rPr>
        <w:t>，</w:t>
      </w:r>
      <w:r>
        <w:rPr>
          <w:color w:val="auto"/>
        </w:rPr>
        <w:t>引进冲施肥、盐碱地改性专用肥、粉煤灰基土壤调理剂等项目。推进建筑垃圾分类处置，强化建筑工地固体废物源头管控，规划建设建筑垃圾分类分拣与资源化利用项目，推广再生建材在市政、园林等工程中的应用。完善生活垃圾分类投放、收集、运输、处置闭环，推进垃圾焚烧发电项目</w:t>
      </w:r>
      <w:r>
        <w:rPr>
          <w:rFonts w:hint="eastAsia"/>
          <w:color w:val="auto"/>
          <w:lang w:eastAsia="zh-CN"/>
        </w:rPr>
        <w:t>。</w:t>
      </w:r>
    </w:p>
    <w:p w14:paraId="76632E20">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ascii="宋体" w:hAnsi="宋体" w:cs="宋体"/>
          <w:b/>
          <w:bCs/>
          <w:color w:val="auto"/>
          <w:lang w:val="en-US" w:eastAsia="zh-CN"/>
        </w:rPr>
        <w:t>加强工业废水废气综合利用。</w:t>
      </w:r>
      <w:r>
        <w:rPr>
          <w:color w:val="auto"/>
        </w:rPr>
        <w:t>加大园区再生水回用规模处理力度，实施再生水制备除盐水项目，实现工业废水零排放。优先配置再生水，推动新增工业企业优先使用再生水。依托大唐托电</w:t>
      </w:r>
      <w:r>
        <w:rPr>
          <w:rFonts w:hint="eastAsia" w:ascii="Times New Roman" w:hAnsi="Times New Roman" w:eastAsia="仿宋_GB2312" w:cs="Times New Roman"/>
          <w:color w:val="auto"/>
          <w:sz w:val="32"/>
          <w:szCs w:val="24"/>
          <w:highlight w:val="none"/>
          <w:lang w:val="en-US" w:eastAsia="zh-CN" w:bidi="ar-SA"/>
        </w:rPr>
        <w:t>400</w:t>
      </w:r>
      <w:r>
        <w:rPr>
          <w:color w:val="auto"/>
        </w:rPr>
        <w:t>万吨/年烟气排放量，开展二氧化碳捕集、提纯，加快引进二氧化碳生产农业气肥、</w:t>
      </w:r>
      <w:r>
        <w:rPr>
          <w:rFonts w:hint="default" w:ascii="Times New Roman" w:hAnsi="Times New Roman" w:cs="Times New Roman"/>
          <w:color w:val="auto"/>
        </w:rPr>
        <w:t>BIPV</w:t>
      </w:r>
      <w:r>
        <w:rPr>
          <w:color w:val="auto"/>
        </w:rPr>
        <w:t>植物工厂二氧化碳气肥利用、二氧化碳加氢制甲醇等项目，贯通从捕集到消纳的二氧化碳全周期链条。</w:t>
      </w:r>
    </w:p>
    <w:p w14:paraId="726364A2">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ascii="宋体" w:hAnsi="宋体" w:cs="宋体"/>
          <w:b/>
          <w:bCs/>
          <w:color w:val="auto"/>
          <w:lang w:val="en-US" w:eastAsia="zh-CN"/>
        </w:rPr>
        <w:t>提升再生资源循环利用水平。</w:t>
      </w:r>
      <w:r>
        <w:rPr>
          <w:color w:val="auto"/>
        </w:rPr>
        <w:t>推动退役风电光伏设备、报废汽车、废旧轮胎、废旧电池、再生钢铝等再生资源循环利用。</w:t>
      </w:r>
      <w:r>
        <w:rPr>
          <w:rFonts w:hint="eastAsia"/>
          <w:color w:val="auto"/>
          <w:lang w:val="en-US" w:eastAsia="zh-CN"/>
        </w:rPr>
        <w:t>强化</w:t>
      </w:r>
      <w:r>
        <w:rPr>
          <w:color w:val="auto"/>
        </w:rPr>
        <w:t>风电机组基础、塔架和光伏层压件、边框等再生利用，</w:t>
      </w:r>
      <w:r>
        <w:rPr>
          <w:rFonts w:hint="eastAsia"/>
          <w:color w:val="auto"/>
          <w:lang w:val="en-US" w:eastAsia="zh-CN"/>
        </w:rPr>
        <w:t>开展</w:t>
      </w:r>
      <w:r>
        <w:rPr>
          <w:color w:val="auto"/>
        </w:rPr>
        <w:t>风机发电机、齿轮箱等零部件发展再制造。推动退役动力电池利用项目企业落地。支持废钢铁、废铝、废弃电器电子产品规模化、清洁化利用，提升报废汽车拆解智能化水平。</w:t>
      </w:r>
    </w:p>
    <w:p w14:paraId="260A98CB">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b/>
          <w:bCs/>
          <w:color w:val="auto"/>
          <w:lang w:val="en-US" w:eastAsia="zh-CN"/>
        </w:rPr>
        <w:t>加强发酵菌渣综合利用。</w:t>
      </w:r>
      <w:r>
        <w:rPr>
          <w:color w:val="auto"/>
        </w:rPr>
        <w:t>推进生物发酵菌渣在现代农业、动物饲料、工业污染防治等领域应用，建设生物发酵菌渣集中收集、标准化处理中心，开发菌渣生产生物有机肥、复合微生物肥料等产品。推进菌渣生产功能性食品添加剂项目，提取蛋白质、氨基酸、多糖等活性成分。探索布局菌渣生产高蛋白饲料项目，生产动物饲料添加剂、宠物食品原料。发展菌渣生产生物基材料项目，开发可降解包装材料、生物塑料、土壤保水剂等新材料。</w:t>
      </w:r>
    </w:p>
    <w:p w14:paraId="295B2899">
      <w:pPr>
        <w:pStyle w:val="2"/>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四、推动产业数智化转型与制造业服务业融合</w:t>
      </w:r>
    </w:p>
    <w:p w14:paraId="1992698F">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（一）强化算力数据融合赋能</w:t>
      </w:r>
    </w:p>
    <w:p w14:paraId="0EFBD06A">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依托首府合成生物智算公共服务平台及全国首个生物智造数据交易平台，支持生物制造企业开展数据要素市场化配置改革，打造特色数据产品，探索建立生物制造产业数据集和语料库，构建生物数据交易服务体系。鼓励企业通过和林格尔多云算力监测与调度平台购买算力资源，依规享受补贴政策。探索搭建以大唐托电为主综合能源智能调度平台，整合多能源数据，构建多能互补优化模型。</w:t>
      </w:r>
    </w:p>
    <w:p w14:paraId="562A4255">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（二）深化</w:t>
      </w:r>
      <w:r>
        <w:rPr>
          <w:rFonts w:hint="eastAsia"/>
          <w:color w:val="auto"/>
          <w:lang w:eastAsia="zh-CN"/>
        </w:rPr>
        <w:t>“</w:t>
      </w:r>
      <w:r>
        <w:rPr>
          <w:color w:val="auto"/>
        </w:rPr>
        <w:t>人工智能+</w:t>
      </w:r>
      <w:r>
        <w:rPr>
          <w:rFonts w:hint="eastAsia"/>
          <w:color w:val="auto"/>
          <w:lang w:eastAsia="zh-CN"/>
        </w:rPr>
        <w:t>”</w:t>
      </w:r>
      <w:r>
        <w:rPr>
          <w:color w:val="auto"/>
        </w:rPr>
        <w:t>应用</w:t>
      </w:r>
    </w:p>
    <w:p w14:paraId="77C21FC7">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聚焦能源、发酵等重点产业，加强场景定制化研发，建设一批典型应用项目。鼓励相关企业与高校、研究机构开展行业大模型算法及技术研究，开发生物发酵、能源服务、资源循环等行业大模型，建设数字化车间、智能工厂等一批应用项目</w:t>
      </w:r>
      <w:r>
        <w:rPr>
          <w:rFonts w:hint="eastAsia"/>
          <w:color w:val="auto"/>
          <w:lang w:eastAsia="zh-CN"/>
        </w:rPr>
        <w:t>，</w:t>
      </w:r>
      <w:r>
        <w:rPr>
          <w:color w:val="auto"/>
        </w:rPr>
        <w:t>重点推动能源、发酵、铝业等优势产业加快对工业互联网、大数据、人工智能等技术的深度应用。推进金达威、呼铝电等企业智能工厂建设，组织重点企业开展自治区先进级、国家卓越级和领航级智能工厂的创建和申报工作。</w:t>
      </w:r>
    </w:p>
    <w:p w14:paraId="18781E04">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w:t>
      </w:r>
      <w:r>
        <w:rPr>
          <w:rFonts w:hint="eastAsia"/>
          <w:color w:val="auto"/>
          <w:lang w:val="en-US" w:eastAsia="zh-CN"/>
        </w:rPr>
        <w:t>三</w:t>
      </w:r>
      <w:r>
        <w:rPr>
          <w:color w:val="auto"/>
        </w:rPr>
        <w:t>）推动制造业与服务业融合</w:t>
      </w:r>
    </w:p>
    <w:p w14:paraId="42F68145">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依托主导产业优势，引进培育研发设计、工业关键、知识产权、检验检测认证、商务咨询等领军机构，探索建设中试平台、孵化器。围绕生物制造原料药、制剂等检验检测需求，联合国内头部检验检测企业在园区建设质量检验检测中心、产业计量测试中心技术标准创新基地。开展定制化服务、总集成总承包及全生命周期管理，形成</w:t>
      </w:r>
      <w:r>
        <w:rPr>
          <w:rFonts w:hint="eastAsia"/>
          <w:color w:val="auto"/>
          <w:lang w:eastAsia="zh-CN"/>
        </w:rPr>
        <w:t>“</w:t>
      </w:r>
      <w:r>
        <w:rPr>
          <w:color w:val="auto"/>
        </w:rPr>
        <w:t>制造即服务、服务即制造</w:t>
      </w:r>
      <w:r>
        <w:rPr>
          <w:rFonts w:hint="eastAsia"/>
          <w:color w:val="auto"/>
          <w:lang w:eastAsia="zh-CN"/>
        </w:rPr>
        <w:t>”</w:t>
      </w:r>
      <w:r>
        <w:rPr>
          <w:color w:val="auto"/>
        </w:rPr>
        <w:t>的良性循环。培育供应链管理龙头，推动制造企业共享生产计划与库存数据，引导物流企业提前配置运力仓储，实现采购、生产、销售、物流精准匹配。</w:t>
      </w:r>
    </w:p>
    <w:p w14:paraId="7983A56F">
      <w:pPr>
        <w:pStyle w:val="2"/>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五、聚焦发展新质生产力，打造创新引领新高地</w:t>
      </w:r>
    </w:p>
    <w:p w14:paraId="794DC5B9">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（一）推动科技创新与产业创新深度融合</w:t>
      </w:r>
    </w:p>
    <w:p w14:paraId="7F50A1D7">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b/>
          <w:bCs/>
          <w:color w:val="auto"/>
          <w:lang w:val="en-US" w:eastAsia="zh-CN"/>
        </w:rPr>
        <w:t>强化高能级创新载体建设。</w:t>
      </w:r>
      <w:r>
        <w:rPr>
          <w:color w:val="auto"/>
        </w:rPr>
        <w:t>支持华润双鹤、金达威</w:t>
      </w:r>
      <w:r>
        <w:rPr>
          <w:rFonts w:hint="eastAsia"/>
          <w:color w:val="auto"/>
          <w:lang w:eastAsia="zh-CN"/>
        </w:rPr>
        <w:t>、</w:t>
      </w:r>
      <w:r>
        <w:rPr>
          <w:rFonts w:hint="eastAsia"/>
          <w:color w:val="auto"/>
          <w:lang w:val="en-US" w:eastAsia="zh-CN"/>
        </w:rPr>
        <w:t>金河生物</w:t>
      </w:r>
      <w:r>
        <w:rPr>
          <w:color w:val="auto"/>
        </w:rPr>
        <w:t>等领军企业建设自治区级创新中心及中试验证平台。深化与上海合成生物学创新中心、中科院深圳先进院合作，探索共建</w:t>
      </w:r>
      <w:r>
        <w:rPr>
          <w:rFonts w:hint="eastAsia"/>
          <w:color w:val="auto"/>
          <w:lang w:eastAsia="zh-CN"/>
        </w:rPr>
        <w:t>“</w:t>
      </w:r>
      <w:r>
        <w:rPr>
          <w:color w:val="auto"/>
        </w:rPr>
        <w:t>蒙科聚</w:t>
      </w:r>
      <w:r>
        <w:rPr>
          <w:rFonts w:hint="eastAsia"/>
          <w:color w:val="auto"/>
          <w:lang w:eastAsia="zh-CN"/>
        </w:rPr>
        <w:t>”</w:t>
      </w:r>
      <w:r>
        <w:rPr>
          <w:color w:val="auto"/>
        </w:rPr>
        <w:t>技术转移中心及合成生物飞地园区。聚焦生物发酵、电子化学品等领域，布局微生物核心菌种实验室及共性技术平台。探索建设具有全国竞争力的微生物发酵</w:t>
      </w:r>
      <w:r>
        <w:rPr>
          <w:rFonts w:hint="default" w:ascii="Times New Roman" w:hAnsi="Times New Roman" w:cs="Times New Roman"/>
          <w:color w:val="auto"/>
        </w:rPr>
        <w:t>CDMO</w:t>
      </w:r>
      <w:r>
        <w:rPr>
          <w:color w:val="auto"/>
        </w:rPr>
        <w:t>中心。支持头部企业建立研发准备金制度，引导中小企业加大对创新产品的研发投入。</w:t>
      </w:r>
    </w:p>
    <w:p w14:paraId="4830F58A">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b/>
          <w:bCs/>
          <w:color w:val="auto"/>
          <w:lang w:val="en-US" w:eastAsia="zh-CN"/>
        </w:rPr>
        <w:t>加强重点领域关键技术攻关。</w:t>
      </w:r>
      <w:r>
        <w:rPr>
          <w:color w:val="auto"/>
        </w:rPr>
        <w:t>持续实施</w:t>
      </w:r>
      <w:r>
        <w:rPr>
          <w:rFonts w:hint="eastAsia"/>
          <w:color w:val="auto"/>
          <w:lang w:eastAsia="zh-CN"/>
        </w:rPr>
        <w:t>“揭榜挂帅”</w:t>
      </w:r>
      <w:r>
        <w:rPr>
          <w:color w:val="auto"/>
        </w:rPr>
        <w:t>重大关键核心技术攻关，围绕核心菌种及绿色生物合成等领域，布局未来食品、生物质转化等前沿技术。鼓励生物制造领域企业积极融入国家创新体系，参与国家级重大科研项目。支持中船特气、科美特等龙头企业与中科院、清华大学、天津大学等高校院所合作，组建创新联合体，开展电子特气、湿电子化学品、前驱体材料等关键核心技术攻关。</w:t>
      </w:r>
    </w:p>
    <w:p w14:paraId="226EA171">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（二）推动科技成果转化落地</w:t>
      </w:r>
    </w:p>
    <w:p w14:paraId="4D5BFFAC">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b/>
          <w:bCs/>
          <w:color w:val="auto"/>
          <w:lang w:val="en-US" w:eastAsia="zh-CN"/>
        </w:rPr>
        <w:t>加强成果转化平台建设。</w:t>
      </w:r>
      <w:r>
        <w:rPr>
          <w:color w:val="auto"/>
        </w:rPr>
        <w:t>推动华润双鹤合成生物中试平台、神舟生物中试孵化平台扩容升级，推动企业自有中试平台纳入全市共享服务体系，制定统一的服务标准和准入规范。积极对接驻呼高等学校、科研院所及市属事业单位，推进其平台向园区企业开放共享。支持概念验证平台、科技成果转化中试基地、中试公共服务平台、技术转移中心等成果转化载体建设。主动对接北京中关村、清华、北大等高校院所及央企研发机构，探索共建</w:t>
      </w:r>
      <w:r>
        <w:rPr>
          <w:rFonts w:hint="eastAsia"/>
          <w:color w:val="auto"/>
          <w:lang w:eastAsia="zh-CN"/>
        </w:rPr>
        <w:t>“</w:t>
      </w:r>
      <w:r>
        <w:rPr>
          <w:color w:val="auto"/>
        </w:rPr>
        <w:t>飞地园区</w:t>
      </w:r>
      <w:r>
        <w:rPr>
          <w:rFonts w:hint="eastAsia"/>
          <w:color w:val="auto"/>
          <w:lang w:eastAsia="zh-CN"/>
        </w:rPr>
        <w:t>”“</w:t>
      </w:r>
      <w:r>
        <w:rPr>
          <w:color w:val="auto"/>
        </w:rPr>
        <w:t>科创飞地</w:t>
      </w:r>
      <w:r>
        <w:rPr>
          <w:rFonts w:hint="eastAsia"/>
          <w:color w:val="auto"/>
          <w:lang w:eastAsia="zh-CN"/>
        </w:rPr>
        <w:t>”</w:t>
      </w:r>
      <w:r>
        <w:rPr>
          <w:color w:val="auto"/>
        </w:rPr>
        <w:t>。</w:t>
      </w:r>
    </w:p>
    <w:p w14:paraId="681FB2F1">
      <w:pPr>
        <w:pStyle w:val="3"/>
        <w:keepNext w:val="0"/>
        <w:keepLines w:val="0"/>
        <w:pageBreakBefore w:val="0"/>
        <w:widowControl w:val="0"/>
        <w:kinsoku/>
        <w:wordWrap/>
        <w:overflowPunct/>
        <w:topLinePunct w:val="0"/>
        <w:autoSpaceDE/>
        <w:autoSpaceDN/>
        <w:bidi w:val="0"/>
        <w:adjustRightInd/>
        <w:snapToGrid/>
        <w:jc w:val="left"/>
        <w:textAlignment w:val="auto"/>
        <w:rPr>
          <w:color w:val="auto"/>
        </w:rPr>
      </w:pPr>
      <w:r>
        <w:rPr>
          <w:rFonts w:hint="eastAsia"/>
          <w:b/>
          <w:bCs/>
          <w:color w:val="auto"/>
          <w:lang w:val="en-US" w:eastAsia="zh-CN"/>
        </w:rPr>
        <w:t>强化成果转化服务供给。</w:t>
      </w:r>
      <w:r>
        <w:rPr>
          <w:color w:val="auto"/>
        </w:rPr>
        <w:t>引入研发外包、检验检测、标准体系构建、知识产权运营、注册申报代理等服务机构，构建全方位生产性服务体系。常态化开展成果发布、科创会客厅等活动，精准遴选发布生物制造、精细化工等领域成果。全面梳理园区企业在生物菌种、煤化工催化剂等领域的存量专利，加大对相关专利在维护、运用等方面的支持力度。实施重点产业高价值专利培育工程，培育知识产权示范企业，引导企业核心产品布局发明专利。落实国家研发费用税前加计扣除政策，对符合条件的生物制造业企业，按规定足额享受加计扣除优惠</w:t>
      </w:r>
      <w:r>
        <w:rPr>
          <w:rFonts w:hint="eastAsia"/>
          <w:color w:val="auto"/>
          <w:lang w:eastAsia="zh-CN"/>
        </w:rPr>
        <w:t>。</w:t>
      </w:r>
      <w:r>
        <w:rPr>
          <w:color w:val="auto"/>
        </w:rPr>
        <w:t>建立健全技术转移人才培养体系，培育一批懂技术、懂市场、懂法律的技术经纪人队伍。</w:t>
      </w:r>
    </w:p>
    <w:p w14:paraId="6CAE0E2B">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（三）加强人才引育留用</w:t>
      </w:r>
    </w:p>
    <w:p w14:paraId="6B53E2E8">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实施个性化人才引进策略</w:t>
      </w:r>
      <w:r>
        <w:rPr>
          <w:rFonts w:hint="eastAsia"/>
          <w:color w:val="auto"/>
          <w:lang w:eastAsia="zh-CN"/>
        </w:rPr>
        <w:t>，</w:t>
      </w:r>
      <w:r>
        <w:rPr>
          <w:color w:val="auto"/>
        </w:rPr>
        <w:t>完善产业急需紧缺人才目录，推行市场化人才评价机制。鼓励金达威、金河生物等龙头企业在长三角、粤港澳等创新资源富集地区布局</w:t>
      </w:r>
      <w:r>
        <w:rPr>
          <w:rFonts w:hint="eastAsia"/>
          <w:color w:val="auto"/>
          <w:lang w:eastAsia="zh-CN"/>
        </w:rPr>
        <w:t>“</w:t>
      </w:r>
      <w:r>
        <w:rPr>
          <w:color w:val="auto"/>
        </w:rPr>
        <w:t>人才飞地</w:t>
      </w:r>
      <w:r>
        <w:rPr>
          <w:rFonts w:hint="eastAsia"/>
          <w:color w:val="auto"/>
          <w:lang w:eastAsia="zh-CN"/>
        </w:rPr>
        <w:t>”</w:t>
      </w:r>
      <w:r>
        <w:rPr>
          <w:color w:val="auto"/>
        </w:rPr>
        <w:t>，实现</w:t>
      </w:r>
      <w:r>
        <w:rPr>
          <w:rFonts w:hint="eastAsia"/>
          <w:color w:val="auto"/>
          <w:lang w:eastAsia="zh-CN"/>
        </w:rPr>
        <w:t>“</w:t>
      </w:r>
      <w:r>
        <w:rPr>
          <w:color w:val="auto"/>
        </w:rPr>
        <w:t>研发在外地、转化在</w:t>
      </w:r>
      <w:r>
        <w:rPr>
          <w:rFonts w:hint="eastAsia"/>
          <w:color w:val="auto"/>
          <w:lang w:val="en-US" w:eastAsia="zh-CN"/>
        </w:rPr>
        <w:t>园区</w:t>
      </w:r>
      <w:r>
        <w:rPr>
          <w:rFonts w:hint="eastAsia"/>
          <w:color w:val="auto"/>
          <w:lang w:eastAsia="zh-CN"/>
        </w:rPr>
        <w:t>”</w:t>
      </w:r>
      <w:r>
        <w:rPr>
          <w:color w:val="auto"/>
        </w:rPr>
        <w:t>的协同创新模式。依托高等学校、职业院校等相关专业，建设人才实训基地及现代产业学院，定向培养急需紧缺专业技术人才。推动企业与内蒙古科技大学、天津大学等区内外高校建立校企联合培养机制，共建实习实训基地和</w:t>
      </w:r>
      <w:r>
        <w:rPr>
          <w:rFonts w:hint="eastAsia"/>
          <w:color w:val="auto"/>
          <w:lang w:eastAsia="zh-CN"/>
        </w:rPr>
        <w:t>“</w:t>
      </w:r>
      <w:r>
        <w:rPr>
          <w:color w:val="auto"/>
        </w:rPr>
        <w:t>订单班</w:t>
      </w:r>
      <w:r>
        <w:rPr>
          <w:rFonts w:hint="eastAsia"/>
          <w:color w:val="auto"/>
          <w:lang w:eastAsia="zh-CN"/>
        </w:rPr>
        <w:t>”。</w:t>
      </w:r>
      <w:r>
        <w:rPr>
          <w:color w:val="auto"/>
        </w:rPr>
        <w:t>推广</w:t>
      </w:r>
      <w:r>
        <w:rPr>
          <w:rFonts w:hint="eastAsia"/>
          <w:color w:val="auto"/>
          <w:lang w:eastAsia="zh-CN"/>
        </w:rPr>
        <w:t>“</w:t>
      </w:r>
      <w:r>
        <w:rPr>
          <w:color w:val="auto"/>
        </w:rPr>
        <w:t>名师带高徒</w:t>
      </w:r>
      <w:r>
        <w:rPr>
          <w:rFonts w:hint="eastAsia"/>
          <w:color w:val="auto"/>
          <w:lang w:eastAsia="zh-CN"/>
        </w:rPr>
        <w:t>”</w:t>
      </w:r>
      <w:r>
        <w:rPr>
          <w:color w:val="auto"/>
        </w:rPr>
        <w:t>模式，开展</w:t>
      </w:r>
      <w:r>
        <w:rPr>
          <w:rFonts w:hint="eastAsia"/>
          <w:color w:val="auto"/>
          <w:lang w:eastAsia="zh-CN"/>
        </w:rPr>
        <w:t>“</w:t>
      </w:r>
      <w:r>
        <w:rPr>
          <w:color w:val="auto"/>
        </w:rPr>
        <w:t>小而精</w:t>
      </w:r>
      <w:r>
        <w:rPr>
          <w:rFonts w:hint="eastAsia"/>
          <w:color w:val="auto"/>
          <w:lang w:eastAsia="zh-CN"/>
        </w:rPr>
        <w:t>”</w:t>
      </w:r>
      <w:r>
        <w:rPr>
          <w:color w:val="auto"/>
        </w:rPr>
        <w:t>技能培训，培育高素质技术工人。</w:t>
      </w:r>
    </w:p>
    <w:p w14:paraId="2941D0CB">
      <w:pPr>
        <w:pStyle w:val="2"/>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六、聚焦深化区域协同，打造开放合作新高地</w:t>
      </w:r>
    </w:p>
    <w:p w14:paraId="4FC095BC">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（一）扩大高水平对外开放</w:t>
      </w:r>
    </w:p>
    <w:p w14:paraId="07A35EAF">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用好《中国（内蒙古）自由贸易试验区总体方案》的重大战略机遇，推动符合条件的企业纳入政策辐射范围，享受通关便利、跨境物流提速、税收优惠、保税监管、专项融资等政策红利。鼓励企业开展跨境研发合作、技术引进和产品出口，支持企业依法设立境外分支机构。支持企业大力开拓东南亚、拉美等新兴市场，对企业海外注册认证、国际资质办理、境外渠道搭建、参展拓市等予以支持。实施外贸主体培育工程，确保绿微康、华和德生物实现出口突破，推动中船特气三氟化氮、亨通小品种氨基酸产品早日海外首发，助力雅克科技电子材料完成首单出口。</w:t>
      </w:r>
    </w:p>
    <w:p w14:paraId="3414E2B6">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（二）精准承接发达地区产业转移</w:t>
      </w:r>
    </w:p>
    <w:p w14:paraId="3FD9906D">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主动承接京津冀、长三角、粤港澳大湾区产业转移。在先进地区派驻专业招商分队，重点引进东部无法落地的高载能、高技术项目，探索建立</w:t>
      </w:r>
      <w:r>
        <w:rPr>
          <w:rFonts w:hint="eastAsia"/>
          <w:color w:val="auto"/>
          <w:lang w:eastAsia="zh-CN"/>
        </w:rPr>
        <w:t>“</w:t>
      </w:r>
      <w:r>
        <w:rPr>
          <w:color w:val="auto"/>
        </w:rPr>
        <w:t>项目贡献分成</w:t>
      </w:r>
      <w:r>
        <w:rPr>
          <w:rFonts w:hint="eastAsia"/>
          <w:color w:val="auto"/>
          <w:lang w:eastAsia="zh-CN"/>
        </w:rPr>
        <w:t>”“</w:t>
      </w:r>
      <w:r>
        <w:rPr>
          <w:color w:val="auto"/>
        </w:rPr>
        <w:t>飞地产业互补</w:t>
      </w:r>
      <w:r>
        <w:rPr>
          <w:rFonts w:hint="eastAsia"/>
          <w:color w:val="auto"/>
          <w:lang w:eastAsia="zh-CN"/>
        </w:rPr>
        <w:t>”</w:t>
      </w:r>
      <w:r>
        <w:rPr>
          <w:color w:val="auto"/>
        </w:rPr>
        <w:t>利益分享机制。与行业龙头共建伙伴园区、飞地园区，实现从单纯承接项目向承接产业链、创新链转变。深化</w:t>
      </w:r>
      <w:r>
        <w:rPr>
          <w:rFonts w:hint="eastAsia"/>
          <w:color w:val="auto"/>
          <w:lang w:eastAsia="zh-CN"/>
        </w:rPr>
        <w:t>“</w:t>
      </w:r>
      <w:r>
        <w:rPr>
          <w:color w:val="auto"/>
        </w:rPr>
        <w:t>总部+基地</w:t>
      </w:r>
      <w:r>
        <w:rPr>
          <w:rFonts w:hint="eastAsia"/>
          <w:color w:val="auto"/>
          <w:lang w:eastAsia="zh-CN"/>
        </w:rPr>
        <w:t>”“</w:t>
      </w:r>
      <w:r>
        <w:rPr>
          <w:color w:val="auto"/>
        </w:rPr>
        <w:t>研发+制造</w:t>
      </w:r>
      <w:r>
        <w:rPr>
          <w:rFonts w:hint="eastAsia"/>
          <w:color w:val="auto"/>
          <w:lang w:eastAsia="zh-CN"/>
        </w:rPr>
        <w:t>”“</w:t>
      </w:r>
      <w:r>
        <w:rPr>
          <w:color w:val="auto"/>
        </w:rPr>
        <w:t>市场+产品</w:t>
      </w:r>
      <w:r>
        <w:rPr>
          <w:rFonts w:hint="eastAsia"/>
          <w:color w:val="auto"/>
          <w:lang w:eastAsia="zh-CN"/>
        </w:rPr>
        <w:t>”</w:t>
      </w:r>
      <w:r>
        <w:rPr>
          <w:color w:val="auto"/>
        </w:rPr>
        <w:t>一体化协同，鼓励发达地区企业在园区设立生产制造基地，将科研成果在园区转化落地。</w:t>
      </w:r>
    </w:p>
    <w:p w14:paraId="380F7EA5">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（三）合作共建沿黄产业协同生态圈</w:t>
      </w:r>
    </w:p>
    <w:p w14:paraId="41B0E621">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全面融入</w:t>
      </w:r>
      <w:r>
        <w:rPr>
          <w:rFonts w:hint="eastAsia"/>
          <w:color w:val="auto"/>
          <w:lang w:eastAsia="zh-CN"/>
        </w:rPr>
        <w:t>“</w:t>
      </w:r>
      <w:r>
        <w:rPr>
          <w:color w:val="auto"/>
        </w:rPr>
        <w:t>呼和浩特都市圈</w:t>
      </w:r>
      <w:r>
        <w:rPr>
          <w:rFonts w:hint="eastAsia"/>
          <w:color w:val="auto"/>
          <w:lang w:eastAsia="zh-CN"/>
        </w:rPr>
        <w:t>”</w:t>
      </w:r>
      <w:r>
        <w:rPr>
          <w:color w:val="auto"/>
        </w:rPr>
        <w:t>及呼包鄂乌一体化发展，协同推进交通、能源、水利等新基建互联互通。</w:t>
      </w:r>
      <w:r>
        <w:rPr>
          <w:rFonts w:hint="eastAsia"/>
          <w:color w:val="auto"/>
          <w:lang w:val="en-US" w:eastAsia="zh-CN"/>
        </w:rPr>
        <w:t>强化跨区域能源互济</w:t>
      </w:r>
      <w:r>
        <w:rPr>
          <w:color w:val="auto"/>
        </w:rPr>
        <w:t>，利用清水河及周边风电光伏</w:t>
      </w:r>
      <w:r>
        <w:rPr>
          <w:rFonts w:hint="eastAsia"/>
          <w:color w:val="auto"/>
          <w:lang w:val="en-US" w:eastAsia="zh-CN"/>
        </w:rPr>
        <w:t>新能源</w:t>
      </w:r>
      <w:r>
        <w:rPr>
          <w:color w:val="auto"/>
        </w:rPr>
        <w:t>，为高载能化工、</w:t>
      </w:r>
      <w:r>
        <w:rPr>
          <w:rFonts w:hint="eastAsia"/>
          <w:color w:val="auto"/>
          <w:lang w:val="en-US" w:eastAsia="zh-CN"/>
        </w:rPr>
        <w:t>冶金</w:t>
      </w:r>
      <w:r>
        <w:rPr>
          <w:color w:val="auto"/>
        </w:rPr>
        <w:t>提供低成本绿电。推动久泰、旭阳等龙头企业与大路园区煤焦化企业建立长期供销联盟，发展乙二醇、可降解材料及高端精细化学品。利用和林格尔新区智能算力赋能生物发酵过程优化与合成生物菌种筛选，推动生物制造科研成果规模化量产。积极参与黄河流域联盟共建，与偏关、准格尔等沿黄旗县在生态治理、商贸物流、科技成果转化等领域深度合作。</w:t>
      </w:r>
    </w:p>
    <w:p w14:paraId="44277556">
      <w:pPr>
        <w:pStyle w:val="2"/>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七、聚焦深层次改革，打造投资兴业新高地</w:t>
      </w:r>
    </w:p>
    <w:p w14:paraId="7355AED3">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（一）深化园区管理体制改革</w:t>
      </w:r>
    </w:p>
    <w:p w14:paraId="41219266">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厘清园区与属地镇街、县级部门职责边界，明确其承担的经济事务管理职能，梳理其代为履行的行政审批事项，推进财权与事权匹配，持续优化调整其内设机构职能。全面推行</w:t>
      </w:r>
      <w:r>
        <w:rPr>
          <w:rFonts w:hint="eastAsia"/>
          <w:color w:val="auto"/>
          <w:lang w:eastAsia="zh-CN"/>
        </w:rPr>
        <w:t>“</w:t>
      </w:r>
      <w:r>
        <w:rPr>
          <w:color w:val="auto"/>
        </w:rPr>
        <w:t>管委会+公司</w:t>
      </w:r>
      <w:r>
        <w:rPr>
          <w:rFonts w:hint="eastAsia"/>
          <w:color w:val="auto"/>
          <w:lang w:eastAsia="zh-CN"/>
        </w:rPr>
        <w:t>”</w:t>
      </w:r>
      <w:r>
        <w:rPr>
          <w:color w:val="auto"/>
        </w:rPr>
        <w:t>模式，进一步明晰界定管委会与平台公司的权责边界。支持平台公司充分发挥国有企业融资优势，通过注入优质资产、提升现有资产价值等方式，增强公司的融资能力。鼓励平台公司积极争取上级专项资金及超长期特别国债支持，确保基础设施项目资金需求。</w:t>
      </w:r>
    </w:p>
    <w:p w14:paraId="75E3D351">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（二）精准开展招商引资</w:t>
      </w:r>
    </w:p>
    <w:p w14:paraId="3829CE94">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深化</w:t>
      </w:r>
      <w:r>
        <w:rPr>
          <w:rFonts w:hint="eastAsia"/>
          <w:color w:val="auto"/>
          <w:lang w:eastAsia="zh-CN"/>
        </w:rPr>
        <w:t>“</w:t>
      </w:r>
      <w:r>
        <w:rPr>
          <w:color w:val="auto"/>
        </w:rPr>
        <w:t>走出去+请进来</w:t>
      </w:r>
      <w:r>
        <w:rPr>
          <w:rFonts w:hint="eastAsia"/>
          <w:color w:val="auto"/>
          <w:lang w:eastAsia="zh-CN"/>
        </w:rPr>
        <w:t>”</w:t>
      </w:r>
      <w:r>
        <w:rPr>
          <w:color w:val="auto"/>
        </w:rPr>
        <w:t>双向联动机制，组建驻京津冀、长三角、粤港澳及成渝地区专业招商小分队，常态化开展驻点攻坚，重点跟进生物医药、合成生物等领域一批成熟度高的在谈项目。定期举办产业链供需对接会，邀请行业龙头、隐形冠军及科研院所实地考察。绘制主导产业精细化</w:t>
      </w:r>
      <w:r>
        <w:rPr>
          <w:rFonts w:hint="eastAsia"/>
          <w:color w:val="auto"/>
          <w:lang w:eastAsia="zh-CN"/>
        </w:rPr>
        <w:t>“</w:t>
      </w:r>
      <w:r>
        <w:rPr>
          <w:color w:val="auto"/>
        </w:rPr>
        <w:t>产业链图谱</w:t>
      </w:r>
      <w:r>
        <w:rPr>
          <w:rFonts w:hint="eastAsia"/>
          <w:color w:val="auto"/>
          <w:lang w:eastAsia="zh-CN"/>
        </w:rPr>
        <w:t>”</w:t>
      </w:r>
      <w:r>
        <w:rPr>
          <w:color w:val="auto"/>
        </w:rPr>
        <w:t>，实施补链、延链、强链行动。聚焦合成生物新赛道，重点引进制剂生产、医药研发外包（</w:t>
      </w:r>
      <w:r>
        <w:rPr>
          <w:rFonts w:hint="default" w:ascii="Times New Roman" w:hAnsi="Times New Roman" w:cs="Times New Roman"/>
          <w:color w:val="auto"/>
        </w:rPr>
        <w:t>CRO/CDMO</w:t>
      </w:r>
      <w:r>
        <w:rPr>
          <w:color w:val="auto"/>
        </w:rPr>
        <w:t>）及关键菌种研发企业。全面推广</w:t>
      </w:r>
      <w:r>
        <w:rPr>
          <w:rFonts w:hint="eastAsia"/>
          <w:color w:val="auto"/>
          <w:lang w:eastAsia="zh-CN"/>
        </w:rPr>
        <w:t>“</w:t>
      </w:r>
      <w:r>
        <w:rPr>
          <w:color w:val="auto"/>
        </w:rPr>
        <w:t>基金+场景</w:t>
      </w:r>
      <w:r>
        <w:rPr>
          <w:rFonts w:hint="eastAsia"/>
          <w:color w:val="auto"/>
          <w:lang w:eastAsia="zh-CN"/>
        </w:rPr>
        <w:t>”</w:t>
      </w:r>
      <w:r>
        <w:rPr>
          <w:color w:val="auto"/>
        </w:rPr>
        <w:t>新模式，深化</w:t>
      </w:r>
      <w:r>
        <w:rPr>
          <w:rFonts w:hint="eastAsia"/>
          <w:color w:val="auto"/>
          <w:lang w:eastAsia="zh-CN"/>
        </w:rPr>
        <w:t>“</w:t>
      </w:r>
      <w:r>
        <w:rPr>
          <w:color w:val="auto"/>
        </w:rPr>
        <w:t>基金+招商+产业+服务</w:t>
      </w:r>
      <w:r>
        <w:rPr>
          <w:rFonts w:hint="eastAsia"/>
          <w:color w:val="auto"/>
          <w:lang w:eastAsia="zh-CN"/>
        </w:rPr>
        <w:t>”</w:t>
      </w:r>
      <w:r>
        <w:rPr>
          <w:color w:val="auto"/>
        </w:rPr>
        <w:t>运作，撬动社会资本投向合成生物、绿色能源等关键领域。大力招引总部经济、新型研发机构及孵化器，培育高成长性企业集群。</w:t>
      </w:r>
    </w:p>
    <w:p w14:paraId="2FE20E52">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（三）培优育强市场主体</w:t>
      </w:r>
    </w:p>
    <w:p w14:paraId="6E4C4DB2">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b/>
          <w:bCs/>
          <w:color w:val="auto"/>
          <w:lang w:val="en-US" w:eastAsia="zh-CN"/>
        </w:rPr>
        <w:t>实施企业梯次培育行动。</w:t>
      </w:r>
      <w:r>
        <w:rPr>
          <w:color w:val="auto"/>
        </w:rPr>
        <w:t>实行</w:t>
      </w:r>
      <w:r>
        <w:rPr>
          <w:rFonts w:hint="eastAsia"/>
          <w:color w:val="auto"/>
          <w:lang w:eastAsia="zh-CN"/>
        </w:rPr>
        <w:t>“</w:t>
      </w:r>
      <w:r>
        <w:rPr>
          <w:color w:val="auto"/>
        </w:rPr>
        <w:t>一企一策</w:t>
      </w:r>
      <w:r>
        <w:rPr>
          <w:rFonts w:hint="eastAsia"/>
          <w:color w:val="auto"/>
          <w:lang w:eastAsia="zh-CN"/>
        </w:rPr>
        <w:t>”</w:t>
      </w:r>
      <w:r>
        <w:rPr>
          <w:color w:val="auto"/>
        </w:rPr>
        <w:t>精准扶持，在能源化工、生物制造、特种气体等优势领域打造一批单项冠军企业，在合成生物等前沿领域，培育一批专精特新企业和独角兽企业。支持链主企业主导或参与优势领域国家标准和行业标准制定，加强高价值专利布局和国际认证，提升行业定价话语权和核心竞争力。建立中小企业梯度培育体系，构建</w:t>
      </w:r>
      <w:r>
        <w:rPr>
          <w:rFonts w:hint="eastAsia"/>
          <w:color w:val="auto"/>
          <w:lang w:eastAsia="zh-CN"/>
        </w:rPr>
        <w:t>“</w:t>
      </w:r>
      <w:r>
        <w:rPr>
          <w:color w:val="auto"/>
        </w:rPr>
        <w:t>科技型中小企业—高新技术企业—瞪羚企业—独角兽企业—上市企业</w:t>
      </w:r>
      <w:r>
        <w:rPr>
          <w:rFonts w:hint="eastAsia"/>
          <w:color w:val="auto"/>
          <w:lang w:eastAsia="zh-CN"/>
        </w:rPr>
        <w:t>”</w:t>
      </w:r>
      <w:r>
        <w:rPr>
          <w:color w:val="auto"/>
        </w:rPr>
        <w:t>五级成长梯队。重点扶持益生菌、生物基新材料、新食品原料等前沿领域中小企业，培育一批细分领域</w:t>
      </w:r>
      <w:r>
        <w:rPr>
          <w:rFonts w:hint="eastAsia"/>
          <w:color w:val="auto"/>
          <w:lang w:eastAsia="zh-CN"/>
        </w:rPr>
        <w:t>“</w:t>
      </w:r>
      <w:r>
        <w:rPr>
          <w:color w:val="auto"/>
        </w:rPr>
        <w:t>隐形冠军</w:t>
      </w:r>
      <w:r>
        <w:rPr>
          <w:rFonts w:hint="eastAsia"/>
          <w:color w:val="auto"/>
          <w:lang w:eastAsia="zh-CN"/>
        </w:rPr>
        <w:t>”</w:t>
      </w:r>
      <w:r>
        <w:rPr>
          <w:color w:val="auto"/>
        </w:rPr>
        <w:t>和</w:t>
      </w:r>
      <w:r>
        <w:rPr>
          <w:rFonts w:hint="eastAsia"/>
          <w:color w:val="auto"/>
          <w:lang w:eastAsia="zh-CN"/>
        </w:rPr>
        <w:t>“</w:t>
      </w:r>
      <w:r>
        <w:rPr>
          <w:color w:val="auto"/>
        </w:rPr>
        <w:t>单项冠军</w:t>
      </w:r>
      <w:r>
        <w:rPr>
          <w:rFonts w:hint="eastAsia"/>
          <w:color w:val="auto"/>
          <w:lang w:eastAsia="zh-CN"/>
        </w:rPr>
        <w:t>”</w:t>
      </w:r>
      <w:r>
        <w:rPr>
          <w:color w:val="auto"/>
        </w:rPr>
        <w:t>。</w:t>
      </w:r>
    </w:p>
    <w:p w14:paraId="1AA62A08">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b/>
          <w:bCs/>
          <w:color w:val="auto"/>
          <w:lang w:val="en-US" w:eastAsia="zh-CN"/>
        </w:rPr>
        <w:t>全面提升企业服务能力。</w:t>
      </w:r>
      <w:r>
        <w:rPr>
          <w:color w:val="auto"/>
        </w:rPr>
        <w:t>全面推行</w:t>
      </w:r>
      <w:r>
        <w:rPr>
          <w:rFonts w:hint="eastAsia"/>
          <w:color w:val="auto"/>
          <w:lang w:eastAsia="zh-CN"/>
        </w:rPr>
        <w:t>“</w:t>
      </w:r>
      <w:r>
        <w:rPr>
          <w:color w:val="auto"/>
        </w:rPr>
        <w:t>园区事项园区办、容缺事项承诺办</w:t>
      </w:r>
      <w:r>
        <w:rPr>
          <w:rFonts w:hint="eastAsia"/>
          <w:color w:val="auto"/>
          <w:lang w:eastAsia="zh-CN"/>
        </w:rPr>
        <w:t>”</w:t>
      </w:r>
      <w:r>
        <w:rPr>
          <w:color w:val="auto"/>
        </w:rPr>
        <w:t>，推动多部门联动审批和多证联发。完善重大项目</w:t>
      </w:r>
      <w:r>
        <w:rPr>
          <w:rFonts w:hint="eastAsia"/>
          <w:color w:val="auto"/>
          <w:lang w:eastAsia="zh-CN"/>
        </w:rPr>
        <w:t>“</w:t>
      </w:r>
      <w:r>
        <w:rPr>
          <w:color w:val="auto"/>
        </w:rPr>
        <w:t>闭环</w:t>
      </w:r>
      <w:r>
        <w:rPr>
          <w:rFonts w:hint="eastAsia"/>
          <w:color w:val="auto"/>
          <w:lang w:eastAsia="zh-CN"/>
        </w:rPr>
        <w:t>”</w:t>
      </w:r>
      <w:r>
        <w:rPr>
          <w:color w:val="auto"/>
        </w:rPr>
        <w:t>管理，实施</w:t>
      </w:r>
      <w:r>
        <w:rPr>
          <w:rFonts w:hint="eastAsia"/>
          <w:color w:val="auto"/>
          <w:lang w:eastAsia="zh-CN"/>
        </w:rPr>
        <w:t>“</w:t>
      </w:r>
      <w:r>
        <w:rPr>
          <w:color w:val="auto"/>
        </w:rPr>
        <w:t>领导指挥+专员代办</w:t>
      </w:r>
      <w:r>
        <w:rPr>
          <w:rFonts w:hint="eastAsia"/>
          <w:color w:val="auto"/>
          <w:lang w:eastAsia="zh-CN"/>
        </w:rPr>
        <w:t>”</w:t>
      </w:r>
      <w:r>
        <w:rPr>
          <w:color w:val="auto"/>
        </w:rPr>
        <w:t>全程跟踪，确保早建成早投产。推动惠企政策</w:t>
      </w:r>
      <w:r>
        <w:rPr>
          <w:rFonts w:hint="eastAsia"/>
          <w:color w:val="auto"/>
          <w:lang w:eastAsia="zh-CN"/>
        </w:rPr>
        <w:t>“</w:t>
      </w:r>
      <w:r>
        <w:rPr>
          <w:color w:val="auto"/>
        </w:rPr>
        <w:t>一窗通办、</w:t>
      </w:r>
      <w:r>
        <w:rPr>
          <w:rFonts w:hint="eastAsia"/>
          <w:color w:val="auto"/>
          <w:lang w:eastAsia="zh-CN"/>
        </w:rPr>
        <w:t>“免申即享”</w:t>
      </w:r>
      <w:r>
        <w:rPr>
          <w:color w:val="auto"/>
        </w:rPr>
        <w:t>。建立企业家参与政策制定及</w:t>
      </w:r>
      <w:r>
        <w:rPr>
          <w:rFonts w:hint="eastAsia"/>
          <w:color w:val="auto"/>
          <w:lang w:eastAsia="zh-CN"/>
        </w:rPr>
        <w:t>“</w:t>
      </w:r>
      <w:r>
        <w:rPr>
          <w:color w:val="auto"/>
        </w:rPr>
        <w:t>好差评</w:t>
      </w:r>
      <w:r>
        <w:rPr>
          <w:rFonts w:hint="eastAsia"/>
          <w:color w:val="auto"/>
          <w:lang w:eastAsia="zh-CN"/>
        </w:rPr>
        <w:t>”</w:t>
      </w:r>
      <w:r>
        <w:rPr>
          <w:color w:val="auto"/>
        </w:rPr>
        <w:t>反馈机制。发挥颠覆性技术专项基金、生物医药产业基金等政府投资基金的作用，积极引导社会资本支持生物制造产业集聚发展。紧盯国家超长期特别国债和专项债、自治区重点产业引导基金等，常态化开展</w:t>
      </w:r>
      <w:r>
        <w:rPr>
          <w:rFonts w:hint="eastAsia"/>
          <w:color w:val="auto"/>
          <w:lang w:eastAsia="zh-CN"/>
        </w:rPr>
        <w:t>“</w:t>
      </w:r>
      <w:r>
        <w:rPr>
          <w:color w:val="auto"/>
        </w:rPr>
        <w:t>跑厅进部</w:t>
      </w:r>
      <w:r>
        <w:rPr>
          <w:rFonts w:hint="eastAsia"/>
          <w:color w:val="auto"/>
          <w:lang w:eastAsia="zh-CN"/>
        </w:rPr>
        <w:t>”</w:t>
      </w:r>
      <w:r>
        <w:rPr>
          <w:color w:val="auto"/>
        </w:rPr>
        <w:t>，为项目建设创造有利条件。</w:t>
      </w:r>
    </w:p>
    <w:p w14:paraId="374F6419">
      <w:pPr>
        <w:pStyle w:val="2"/>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八、聚焦绿色转型和安全发展，打造绿色安全新高地</w:t>
      </w:r>
    </w:p>
    <w:p w14:paraId="290BDAC7">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（一）推动零碳园区和工厂建设</w:t>
      </w:r>
    </w:p>
    <w:p w14:paraId="327EA437">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b/>
          <w:bCs/>
          <w:color w:val="auto"/>
          <w:lang w:val="en-US" w:eastAsia="zh-CN"/>
        </w:rPr>
        <w:t>加强绿电高比例供给。</w:t>
      </w:r>
      <w:r>
        <w:rPr>
          <w:rFonts w:hint="eastAsia" w:cs="Times New Roman"/>
          <w:color w:val="auto"/>
          <w:highlight w:val="none"/>
          <w:lang w:val="en-US" w:eastAsia="zh-CN"/>
        </w:rPr>
        <w:t>按照“园中园”的模式，系统推进自治区级零碳园区创建工作。</w:t>
      </w:r>
      <w:r>
        <w:rPr>
          <w:color w:val="auto"/>
        </w:rPr>
        <w:t>依托大唐托电</w:t>
      </w:r>
      <w:r>
        <w:rPr>
          <w:rFonts w:hint="eastAsia"/>
          <w:color w:val="auto"/>
          <w:lang w:eastAsia="zh-CN"/>
        </w:rPr>
        <w:t>“</w:t>
      </w:r>
      <w:r>
        <w:rPr>
          <w:color w:val="auto"/>
        </w:rPr>
        <w:t>风光火储氢</w:t>
      </w:r>
      <w:r>
        <w:rPr>
          <w:rFonts w:hint="eastAsia"/>
          <w:color w:val="auto"/>
          <w:lang w:eastAsia="zh-CN"/>
        </w:rPr>
        <w:t>”</w:t>
      </w:r>
      <w:r>
        <w:rPr>
          <w:color w:val="auto"/>
        </w:rPr>
        <w:t>多能互补优势，分阶段统筹规划新能源装机容量，科学配置储能系统规模，匹配园区存量及增量负荷需求，保障绿电稳定供给。探索推进新能源就近接入增量配电网等绿电直供模式，补充本地绿色电力供应缺口。加强园区用电智能化管理，提升园区配电网的灵活性和承载力。大力推广绿色建筑</w:t>
      </w:r>
      <w:r>
        <w:rPr>
          <w:rFonts w:hint="eastAsia"/>
          <w:color w:val="auto"/>
          <w:lang w:eastAsia="zh-CN"/>
        </w:rPr>
        <w:t>，</w:t>
      </w:r>
      <w:r>
        <w:rPr>
          <w:color w:val="auto"/>
        </w:rPr>
        <w:t>推动嘉和物流枢纽调车机清洁化改造，试点氢燃料电池机车替代，实现场内作业近零排放。</w:t>
      </w:r>
    </w:p>
    <w:p w14:paraId="6CE2983C">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b/>
          <w:bCs/>
          <w:color w:val="auto"/>
          <w:lang w:val="en-US" w:eastAsia="zh-CN"/>
        </w:rPr>
        <w:t>推动产业绿色低碳发展。</w:t>
      </w:r>
      <w:r>
        <w:rPr>
          <w:color w:val="auto"/>
        </w:rPr>
        <w:t>坚决遏制高耗能、高排放、低水平项目盲目发展，培育清洁能源、新材料、资源循环等低能耗、高附加值产业。鼓励大唐托电、久泰等布局碳捕集利用与封存（</w:t>
      </w:r>
      <w:r>
        <w:rPr>
          <w:rFonts w:hint="default" w:ascii="Times New Roman" w:hAnsi="Times New Roman" w:cs="Times New Roman"/>
          <w:color w:val="auto"/>
        </w:rPr>
        <w:t>CCUS</w:t>
      </w:r>
      <w:r>
        <w:rPr>
          <w:color w:val="auto"/>
        </w:rPr>
        <w:t>）工程，推动碳捕集管网与绿氢、绿醇制备系统耦合。选取</w:t>
      </w:r>
      <w:r>
        <w:rPr>
          <w:rFonts w:hint="default" w:ascii="Times New Roman" w:hAnsi="Times New Roman" w:cs="Times New Roman"/>
          <w:color w:val="auto"/>
        </w:rPr>
        <w:t>3—5</w:t>
      </w:r>
      <w:r>
        <w:rPr>
          <w:color w:val="auto"/>
        </w:rPr>
        <w:t>家重点企业梯次开展零碳工厂培育工作，鼓励企业开展节能降碳技术改造。严格</w:t>
      </w:r>
      <w:r>
        <w:rPr>
          <w:rFonts w:hint="eastAsia"/>
          <w:color w:val="auto"/>
          <w:lang w:eastAsia="zh-CN"/>
        </w:rPr>
        <w:t>“两高”项目</w:t>
      </w:r>
      <w:r>
        <w:rPr>
          <w:color w:val="auto"/>
        </w:rPr>
        <w:t>准入，新（改、扩）建项目须落实碳排放减量替代。健全完善园区用能和碳排放管理制度，支持园区建设覆盖主要用能企业的能碳管理平台。</w:t>
      </w:r>
    </w:p>
    <w:p w14:paraId="6E1D5EC1">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（二）强化环境保护综合治理</w:t>
      </w:r>
    </w:p>
    <w:p w14:paraId="7B3BABD3">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升级现有污水集中处理设施，推进实现工业废水全收集、全处理、全回用。积极推动金河环保污水处理扩容及水资源再生利用提标扩建工程全面建成投运。推广废水资源化利用先进工艺，强化废水梯级处理与分质回用。深化工业蒸汽集中供应，推动久泰新材料等热源企业与园区供热管网互联互通。督促化工、医药、包装等相关企业建设有毒有害气体及恶臭气体收集、处理设施和相应的应急处置设施</w:t>
      </w:r>
      <w:r>
        <w:rPr>
          <w:rFonts w:hint="eastAsia"/>
          <w:color w:val="auto"/>
          <w:lang w:eastAsia="zh-CN"/>
        </w:rPr>
        <w:t>。</w:t>
      </w:r>
      <w:r>
        <w:rPr>
          <w:color w:val="auto"/>
        </w:rPr>
        <w:t>引导企业采用低噪声工艺设备。加强工业固体废物源头减量，严格落实产业、环保、节能等政策，依法依规淘汰落后产能。探索建立园区资源循环管理平台，建设园区级</w:t>
      </w:r>
      <w:r>
        <w:rPr>
          <w:rFonts w:hint="default" w:ascii="Times New Roman" w:hAnsi="Times New Roman" w:cs="Times New Roman"/>
          <w:color w:val="auto"/>
        </w:rPr>
        <w:t>VOCs</w:t>
      </w:r>
      <w:r>
        <w:rPr>
          <w:color w:val="auto"/>
        </w:rPr>
        <w:t>组分监测站和异味在线监测网络，实现精准溯源与快速响应。</w:t>
      </w:r>
    </w:p>
    <w:p w14:paraId="785C930E">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（三）强化园区安全运行</w:t>
      </w:r>
    </w:p>
    <w:p w14:paraId="595B8196">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持续完善园区安全生产体系，修订安全生产责任清单。</w:t>
      </w:r>
      <w:r>
        <w:rPr>
          <w:rFonts w:hint="eastAsia"/>
          <w:color w:val="auto"/>
          <w:lang w:val="en-US" w:eastAsia="zh-CN"/>
        </w:rPr>
        <w:t>鼓励</w:t>
      </w:r>
      <w:r>
        <w:rPr>
          <w:color w:val="auto"/>
        </w:rPr>
        <w:t>企业严格落实安全生产主体责任，督促企业完善安全管理制度，建立隐患排查治理长效机制。深入开展安全生产大排查、大整治，组织</w:t>
      </w:r>
      <w:r>
        <w:rPr>
          <w:rFonts w:hint="eastAsia"/>
          <w:color w:val="auto"/>
          <w:lang w:eastAsia="zh-CN"/>
        </w:rPr>
        <w:t>“</w:t>
      </w:r>
      <w:r>
        <w:rPr>
          <w:color w:val="auto"/>
        </w:rPr>
        <w:t>回头看</w:t>
      </w:r>
      <w:r>
        <w:rPr>
          <w:rFonts w:hint="eastAsia"/>
          <w:color w:val="auto"/>
          <w:lang w:eastAsia="zh-CN"/>
        </w:rPr>
        <w:t>”</w:t>
      </w:r>
      <w:r>
        <w:rPr>
          <w:color w:val="auto"/>
        </w:rPr>
        <w:t>工作，确保整改到位、不留死角。建立重大事故隐患动态清零机制。完善安全生产约谈制度、黑名单制度、重大隐患挂牌督办制度。强化项目安全准入管控，严把项目准入关，禁止引入淘汰类产业项目，原则上不引入限制类产业项目，支持鼓励类产业项目建设。推动安全生产规范化建设</w:t>
      </w:r>
      <w:r>
        <w:rPr>
          <w:rFonts w:hint="eastAsia"/>
          <w:color w:val="auto"/>
          <w:lang w:eastAsia="zh-CN"/>
        </w:rPr>
        <w:t>。</w:t>
      </w:r>
      <w:r>
        <w:rPr>
          <w:color w:val="auto"/>
        </w:rPr>
        <w:t>组织安全教育培训和演练，提升企业从业人员安全素质。加强安全宣传教育</w:t>
      </w:r>
      <w:r>
        <w:rPr>
          <w:rFonts w:hint="eastAsia"/>
          <w:color w:val="auto"/>
          <w:lang w:eastAsia="zh-CN"/>
        </w:rPr>
        <w:t>，</w:t>
      </w:r>
      <w:r>
        <w:rPr>
          <w:color w:val="auto"/>
        </w:rPr>
        <w:t>营造关心安全生产、参与安全发展的浓厚氛围。推进</w:t>
      </w:r>
      <w:r>
        <w:rPr>
          <w:rFonts w:hint="eastAsia"/>
          <w:color w:val="auto"/>
          <w:lang w:eastAsia="zh-CN"/>
        </w:rPr>
        <w:t>“</w:t>
      </w:r>
      <w:r>
        <w:rPr>
          <w:color w:val="auto"/>
        </w:rPr>
        <w:t>智慧应急</w:t>
      </w:r>
      <w:r>
        <w:rPr>
          <w:rFonts w:hint="eastAsia"/>
          <w:color w:val="auto"/>
          <w:lang w:eastAsia="zh-CN"/>
        </w:rPr>
        <w:t>”</w:t>
      </w:r>
      <w:r>
        <w:rPr>
          <w:color w:val="auto"/>
        </w:rPr>
        <w:t>建设，建立园区安全风险智能化管控平台，实现风险监测预警、智能研判、精准执法。</w:t>
      </w:r>
    </w:p>
    <w:p w14:paraId="406B64B0">
      <w:pPr>
        <w:pStyle w:val="2"/>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九、聚焦优化空间治理格局，增强园区发展硬支撑</w:t>
      </w:r>
    </w:p>
    <w:p w14:paraId="507C3D64">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（一）完善园区空间治理</w:t>
      </w:r>
    </w:p>
    <w:p w14:paraId="3FDBC90F">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全面推行工业用地</w:t>
      </w:r>
      <w:r>
        <w:rPr>
          <w:rFonts w:hint="eastAsia"/>
          <w:color w:val="auto"/>
          <w:lang w:eastAsia="zh-CN"/>
        </w:rPr>
        <w:t>“</w:t>
      </w:r>
      <w:r>
        <w:rPr>
          <w:color w:val="auto"/>
        </w:rPr>
        <w:t>标准地</w:t>
      </w:r>
      <w:r>
        <w:rPr>
          <w:rFonts w:hint="eastAsia"/>
          <w:color w:val="auto"/>
          <w:lang w:eastAsia="zh-CN"/>
        </w:rPr>
        <w:t>”</w:t>
      </w:r>
      <w:r>
        <w:rPr>
          <w:color w:val="auto"/>
        </w:rPr>
        <w:t>出让，探索</w:t>
      </w:r>
      <w:r>
        <w:rPr>
          <w:rFonts w:hint="eastAsia"/>
          <w:color w:val="auto"/>
          <w:lang w:eastAsia="zh-CN"/>
        </w:rPr>
        <w:t>“</w:t>
      </w:r>
      <w:r>
        <w:rPr>
          <w:color w:val="auto"/>
        </w:rPr>
        <w:t>标准地+承诺制</w:t>
      </w:r>
      <w:r>
        <w:rPr>
          <w:rFonts w:hint="eastAsia"/>
          <w:color w:val="auto"/>
          <w:lang w:eastAsia="zh-CN"/>
        </w:rPr>
        <w:t>”</w:t>
      </w:r>
      <w:r>
        <w:rPr>
          <w:color w:val="auto"/>
        </w:rPr>
        <w:t>以及长期租赁、先租赁后出让、弹性年期出让等供地方式。聚焦重点企业扩产需求，开展低效用地清理攻坚，倒逼</w:t>
      </w:r>
      <w:r>
        <w:rPr>
          <w:rFonts w:hint="eastAsia"/>
          <w:color w:val="auto"/>
          <w:lang w:eastAsia="zh-CN"/>
        </w:rPr>
        <w:t>“</w:t>
      </w:r>
      <w:r>
        <w:rPr>
          <w:color w:val="auto"/>
        </w:rPr>
        <w:t>僵尸企业</w:t>
      </w:r>
      <w:r>
        <w:rPr>
          <w:rFonts w:hint="eastAsia"/>
          <w:color w:val="auto"/>
          <w:lang w:eastAsia="zh-CN"/>
        </w:rPr>
        <w:t>”</w:t>
      </w:r>
      <w:r>
        <w:rPr>
          <w:color w:val="auto"/>
        </w:rPr>
        <w:t>退出。</w:t>
      </w:r>
      <w:r>
        <w:rPr>
          <w:rFonts w:hint="eastAsia"/>
          <w:color w:val="auto"/>
          <w:lang w:val="en-US" w:eastAsia="zh-CN"/>
        </w:rPr>
        <w:t>争取</w:t>
      </w:r>
      <w:r>
        <w:rPr>
          <w:color w:val="auto"/>
        </w:rPr>
        <w:t>建设多层标准厂房与立体仓储中心，推广</w:t>
      </w:r>
      <w:r>
        <w:rPr>
          <w:rFonts w:hint="eastAsia"/>
          <w:color w:val="auto"/>
          <w:lang w:eastAsia="zh-CN"/>
        </w:rPr>
        <w:t>“</w:t>
      </w:r>
      <w:r>
        <w:rPr>
          <w:color w:val="auto"/>
        </w:rPr>
        <w:t>工业上楼</w:t>
      </w:r>
      <w:r>
        <w:rPr>
          <w:rFonts w:hint="eastAsia"/>
          <w:color w:val="auto"/>
          <w:lang w:eastAsia="zh-CN"/>
        </w:rPr>
        <w:t>”</w:t>
      </w:r>
      <w:r>
        <w:rPr>
          <w:color w:val="auto"/>
        </w:rPr>
        <w:t>模式。优先保障高附加值项目用地，实现土地资源精准滴灌。统筹生产、生活、生态</w:t>
      </w:r>
      <w:r>
        <w:rPr>
          <w:rFonts w:hint="eastAsia"/>
          <w:color w:val="auto"/>
          <w:lang w:eastAsia="zh-CN"/>
        </w:rPr>
        <w:t>“</w:t>
      </w:r>
      <w:r>
        <w:rPr>
          <w:color w:val="auto"/>
        </w:rPr>
        <w:t>三生</w:t>
      </w:r>
      <w:r>
        <w:rPr>
          <w:rFonts w:hint="eastAsia"/>
          <w:color w:val="auto"/>
          <w:lang w:eastAsia="zh-CN"/>
        </w:rPr>
        <w:t>”</w:t>
      </w:r>
      <w:r>
        <w:rPr>
          <w:color w:val="auto"/>
        </w:rPr>
        <w:t>空间，推动园区从</w:t>
      </w:r>
      <w:r>
        <w:rPr>
          <w:rFonts w:hint="eastAsia"/>
          <w:color w:val="auto"/>
          <w:lang w:eastAsia="zh-CN"/>
        </w:rPr>
        <w:t>“</w:t>
      </w:r>
      <w:r>
        <w:rPr>
          <w:color w:val="auto"/>
        </w:rPr>
        <w:t>单一生产型</w:t>
      </w:r>
      <w:r>
        <w:rPr>
          <w:rFonts w:hint="eastAsia"/>
          <w:color w:val="auto"/>
          <w:lang w:eastAsia="zh-CN"/>
        </w:rPr>
        <w:t>”</w:t>
      </w:r>
      <w:r>
        <w:rPr>
          <w:color w:val="auto"/>
        </w:rPr>
        <w:t>向</w:t>
      </w:r>
      <w:r>
        <w:rPr>
          <w:rFonts w:hint="eastAsia"/>
          <w:color w:val="auto"/>
          <w:lang w:eastAsia="zh-CN"/>
        </w:rPr>
        <w:t>“</w:t>
      </w:r>
      <w:r>
        <w:rPr>
          <w:color w:val="auto"/>
        </w:rPr>
        <w:t>综合功能型</w:t>
      </w:r>
      <w:r>
        <w:rPr>
          <w:rFonts w:hint="eastAsia"/>
          <w:color w:val="auto"/>
          <w:lang w:eastAsia="zh-CN"/>
        </w:rPr>
        <w:t>”</w:t>
      </w:r>
      <w:r>
        <w:rPr>
          <w:color w:val="auto"/>
        </w:rPr>
        <w:t>转变。实施园区绿化提质工程，升级久泰大道等主干道景观廊道，加密口袋公园与防护绿带。布局无人配送站等末端设施，试点无人机/车配送，打通生活服务</w:t>
      </w:r>
      <w:r>
        <w:rPr>
          <w:rFonts w:hint="eastAsia"/>
          <w:color w:val="auto"/>
          <w:lang w:eastAsia="zh-CN"/>
        </w:rPr>
        <w:t>“</w:t>
      </w:r>
      <w:r>
        <w:rPr>
          <w:color w:val="auto"/>
        </w:rPr>
        <w:t>最后一百米</w:t>
      </w:r>
      <w:r>
        <w:rPr>
          <w:rFonts w:hint="eastAsia"/>
          <w:color w:val="auto"/>
          <w:lang w:eastAsia="zh-CN"/>
        </w:rPr>
        <w:t>”</w:t>
      </w:r>
      <w:r>
        <w:rPr>
          <w:color w:val="auto"/>
        </w:rPr>
        <w:t>。</w:t>
      </w:r>
    </w:p>
    <w:p w14:paraId="107CC4A8">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（二）完善基础设施建设</w:t>
      </w:r>
    </w:p>
    <w:p w14:paraId="2C75C519">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b/>
          <w:bCs/>
          <w:color w:val="auto"/>
          <w:lang w:val="en-US" w:eastAsia="zh-CN"/>
        </w:rPr>
        <w:t>构建内联外通的交通网络</w:t>
      </w:r>
      <w:r>
        <w:rPr>
          <w:rFonts w:hint="eastAsia"/>
          <w:color w:val="auto"/>
          <w:lang w:val="en-US" w:eastAsia="zh-CN"/>
        </w:rPr>
        <w:t>。</w:t>
      </w:r>
      <w:r>
        <w:rPr>
          <w:color w:val="auto"/>
        </w:rPr>
        <w:t>加强国省干线新建扩建，加强托克托经济开发区与呼和浩特市中心城区、鄂尔多斯市区域的联系，贯通托清准三大开发区，规划建设</w:t>
      </w:r>
      <w:r>
        <w:rPr>
          <w:rFonts w:hint="default" w:ascii="Times New Roman" w:hAnsi="Times New Roman" w:cs="Times New Roman"/>
          <w:color w:val="auto"/>
        </w:rPr>
        <w:t>S27</w:t>
      </w:r>
      <w:r>
        <w:rPr>
          <w:color w:val="auto"/>
        </w:rPr>
        <w:t>呼鄂高速，改造提升</w:t>
      </w:r>
      <w:r>
        <w:rPr>
          <w:rFonts w:hint="default" w:ascii="Times New Roman" w:hAnsi="Times New Roman" w:cs="Times New Roman"/>
          <w:color w:val="auto"/>
        </w:rPr>
        <w:t>103</w:t>
      </w:r>
      <w:r>
        <w:rPr>
          <w:color w:val="auto"/>
        </w:rPr>
        <w:t>省道公路为一级公路。推动</w:t>
      </w:r>
      <w:r>
        <w:rPr>
          <w:rFonts w:hint="default" w:ascii="Times New Roman" w:hAnsi="Times New Roman" w:cs="Times New Roman"/>
          <w:color w:val="auto"/>
        </w:rPr>
        <w:t>G512、S315</w:t>
      </w:r>
      <w:r>
        <w:rPr>
          <w:color w:val="auto"/>
        </w:rPr>
        <w:t>新建项目实施。统筹建设跨黄河大桥，规划建设清水河开发区至</w:t>
      </w:r>
      <w:r>
        <w:rPr>
          <w:rFonts w:hint="default" w:ascii="Times New Roman" w:hAnsi="Times New Roman" w:cs="Times New Roman"/>
          <w:color w:val="auto"/>
        </w:rPr>
        <w:t>S103</w:t>
      </w:r>
      <w:r>
        <w:rPr>
          <w:color w:val="auto"/>
        </w:rPr>
        <w:t>（南线）道路连接工程，实现托克托开发区、清水河开发区与准格尔旗大路经济开发区互联互通。推动联通托清园区交通，实施托克托产业园区铁路专用线项目，规划位于呼准铁路东侧设置</w:t>
      </w:r>
      <w:r>
        <w:rPr>
          <w:rFonts w:hint="default" w:ascii="Times New Roman" w:hAnsi="Times New Roman" w:cs="Times New Roman"/>
          <w:color w:val="auto"/>
        </w:rPr>
        <w:t>2</w:t>
      </w:r>
      <w:r>
        <w:rPr>
          <w:color w:val="auto"/>
        </w:rPr>
        <w:t>处铁路车站。建设托克托沿黄产业带园区道路连接工程、中船大道至</w:t>
      </w:r>
      <w:r>
        <w:rPr>
          <w:rFonts w:hint="default" w:ascii="Times New Roman" w:hAnsi="Times New Roman" w:cs="Times New Roman"/>
          <w:color w:val="auto"/>
        </w:rPr>
        <w:t>Z018</w:t>
      </w:r>
      <w:r>
        <w:rPr>
          <w:color w:val="auto"/>
        </w:rPr>
        <w:t>线道路连接工程、能源路至广银铝业道路连接工程，直接贯通两个园区。改造提升佳园路、管委会大街、金河大街等</w:t>
      </w:r>
      <w:r>
        <w:rPr>
          <w:rFonts w:hint="default" w:ascii="Times New Roman" w:hAnsi="Times New Roman" w:cs="Times New Roman"/>
          <w:color w:val="auto"/>
        </w:rPr>
        <w:t>9</w:t>
      </w:r>
      <w:r>
        <w:rPr>
          <w:color w:val="auto"/>
        </w:rPr>
        <w:t>条道路。</w:t>
      </w:r>
    </w:p>
    <w:p w14:paraId="542FF5A2">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rFonts w:hint="eastAsia"/>
          <w:b/>
          <w:bCs/>
          <w:color w:val="auto"/>
          <w:lang w:val="en-US" w:eastAsia="zh-CN"/>
        </w:rPr>
        <w:t>完善园区配套基础设施。</w:t>
      </w:r>
      <w:r>
        <w:rPr>
          <w:color w:val="auto"/>
        </w:rPr>
        <w:t>供水方面，加快中水管网建设，实施托克托经济开发区再生水管线工程项目，提升首润中水入托工程普及供给能力。排水方面，推动托克托产业园东区雨污水工程及初期雨水收集池项目。供能方面，规划建设</w:t>
      </w:r>
      <w:r>
        <w:rPr>
          <w:rFonts w:hint="default" w:ascii="Times New Roman" w:hAnsi="Times New Roman" w:cs="Times New Roman"/>
          <w:color w:val="auto"/>
        </w:rPr>
        <w:t>220kV</w:t>
      </w:r>
      <w:r>
        <w:rPr>
          <w:color w:val="auto"/>
        </w:rPr>
        <w:t>变电站、</w:t>
      </w:r>
      <w:r>
        <w:rPr>
          <w:rFonts w:hint="default" w:ascii="Times New Roman" w:hAnsi="Times New Roman" w:cs="Times New Roman"/>
          <w:color w:val="auto"/>
        </w:rPr>
        <w:t>110kV</w:t>
      </w:r>
      <w:r>
        <w:rPr>
          <w:color w:val="auto"/>
        </w:rPr>
        <w:t>变电站，推进派瑞特气、昭君—东胜</w:t>
      </w:r>
      <w:r>
        <w:rPr>
          <w:rFonts w:hint="default" w:ascii="Times New Roman" w:hAnsi="Times New Roman" w:cs="Times New Roman"/>
          <w:color w:val="auto"/>
        </w:rPr>
        <w:t>110</w:t>
      </w:r>
      <w:r>
        <w:rPr>
          <w:color w:val="auto"/>
        </w:rPr>
        <w:t>千伏输电线路工程、日盛</w:t>
      </w:r>
      <w:r>
        <w:rPr>
          <w:rFonts w:hint="default" w:ascii="Times New Roman" w:hAnsi="Times New Roman" w:cs="Times New Roman"/>
          <w:color w:val="auto"/>
        </w:rPr>
        <w:t>110kV</w:t>
      </w:r>
      <w:r>
        <w:rPr>
          <w:color w:val="auto"/>
        </w:rPr>
        <w:t>变电站新建</w:t>
      </w:r>
      <w:r>
        <w:rPr>
          <w:rFonts w:hint="default" w:ascii="Times New Roman" w:hAnsi="Times New Roman" w:cs="Times New Roman"/>
          <w:color w:val="auto"/>
        </w:rPr>
        <w:t>2</w:t>
      </w:r>
      <w:r>
        <w:rPr>
          <w:color w:val="auto"/>
        </w:rPr>
        <w:t>回</w:t>
      </w:r>
      <w:r>
        <w:rPr>
          <w:rFonts w:hint="default" w:ascii="Times New Roman" w:hAnsi="Times New Roman" w:cs="Times New Roman"/>
          <w:color w:val="auto"/>
        </w:rPr>
        <w:t>10kV</w:t>
      </w:r>
      <w:r>
        <w:rPr>
          <w:color w:val="auto"/>
        </w:rPr>
        <w:t>线路等项目。推动实施双电源或多电源供电改造，构建</w:t>
      </w:r>
      <w:r>
        <w:rPr>
          <w:rFonts w:hint="eastAsia"/>
          <w:color w:val="auto"/>
          <w:lang w:eastAsia="zh-CN"/>
        </w:rPr>
        <w:t>“</w:t>
      </w:r>
      <w:r>
        <w:rPr>
          <w:color w:val="auto"/>
        </w:rPr>
        <w:t>双回路+自备电源+不间断电源（</w:t>
      </w:r>
      <w:r>
        <w:rPr>
          <w:rFonts w:hint="default" w:ascii="Times New Roman" w:hAnsi="Times New Roman" w:cs="Times New Roman"/>
          <w:color w:val="auto"/>
        </w:rPr>
        <w:t>UPS</w:t>
      </w:r>
      <w:r>
        <w:rPr>
          <w:color w:val="auto"/>
        </w:rPr>
        <w:t>）</w:t>
      </w:r>
      <w:r>
        <w:rPr>
          <w:rFonts w:hint="eastAsia"/>
          <w:color w:val="auto"/>
          <w:lang w:eastAsia="zh-CN"/>
        </w:rPr>
        <w:t>”</w:t>
      </w:r>
      <w:r>
        <w:rPr>
          <w:color w:val="auto"/>
        </w:rPr>
        <w:t>三级供电保障体系。实施盛奥新能源加油加气站、中石油新营子加油站等项目建设，规划建设</w:t>
      </w:r>
      <w:r>
        <w:rPr>
          <w:rFonts w:hint="default" w:ascii="Times New Roman" w:hAnsi="Times New Roman" w:cs="Times New Roman"/>
          <w:color w:val="auto"/>
        </w:rPr>
        <w:t>2—3</w:t>
      </w:r>
      <w:r>
        <w:rPr>
          <w:color w:val="auto"/>
        </w:rPr>
        <w:t>个加氢加醇站。供热方面，稳步推进托克托经济开发区集中供热工程和供热改造二期工程，推动呼铝电供热至园区忠信燃气锅炉房建设，新建隔压泵站。蒸汽方面，推进园区东区蒸汽管道项目、清水河喇嘛湾镇供气管道项目（托克托县段）等。探索与清水河园区共建公用工程岛项目，满足沿黄产业带企业对水、电、热、蒸汽、合成气等多元用能的需求。</w:t>
      </w:r>
    </w:p>
    <w:p w14:paraId="66384521">
      <w:pPr>
        <w:pStyle w:val="2"/>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十、保障措施</w:t>
      </w:r>
    </w:p>
    <w:p w14:paraId="5FA63131">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（一）加强党的全面领导</w:t>
      </w:r>
    </w:p>
    <w:p w14:paraId="09ACD73D">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坚持和加强党的全面领导，严格落实</w:t>
      </w:r>
      <w:r>
        <w:rPr>
          <w:rFonts w:hint="eastAsia"/>
          <w:color w:val="auto"/>
          <w:lang w:eastAsia="zh-CN"/>
        </w:rPr>
        <w:t>“</w:t>
      </w:r>
      <w:r>
        <w:rPr>
          <w:color w:val="auto"/>
        </w:rPr>
        <w:t>第一议题</w:t>
      </w:r>
      <w:r>
        <w:rPr>
          <w:rFonts w:hint="eastAsia"/>
          <w:color w:val="auto"/>
          <w:lang w:eastAsia="zh-CN"/>
        </w:rPr>
        <w:t>”</w:t>
      </w:r>
      <w:r>
        <w:rPr>
          <w:color w:val="auto"/>
        </w:rPr>
        <w:t>等制度，健全贯彻落实习近平总书记重要指示精神和党中央重大决策部署全链条、闭环式工作机制。落实新时代好干部标准和民族地区干部</w:t>
      </w:r>
      <w:r>
        <w:rPr>
          <w:rFonts w:hint="eastAsia"/>
          <w:color w:val="auto"/>
          <w:lang w:eastAsia="zh-CN"/>
        </w:rPr>
        <w:t>“</w:t>
      </w:r>
      <w:r>
        <w:rPr>
          <w:color w:val="auto"/>
        </w:rPr>
        <w:t>四个特别</w:t>
      </w:r>
      <w:r>
        <w:rPr>
          <w:rFonts w:hint="eastAsia"/>
          <w:color w:val="auto"/>
          <w:lang w:eastAsia="zh-CN"/>
        </w:rPr>
        <w:t>”</w:t>
      </w:r>
      <w:r>
        <w:rPr>
          <w:color w:val="auto"/>
        </w:rPr>
        <w:t>重要要求选任干部，完善干部考核评价机制，引导干部树立和践行正确政绩观。锲而不舍贯彻中央八项规定精神，推进作风建设常态化长效化，一体推进不敢腐、不能腐、不想腐。</w:t>
      </w:r>
    </w:p>
    <w:p w14:paraId="4CA73F2B">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（二）加强规划衔接协调实施</w:t>
      </w:r>
    </w:p>
    <w:p w14:paraId="13E18547">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强化发展规划统领作用，形成定位准确、边界清晰、功能互补、统一衔接的工作体系。细化分解发展规划确定的发展目标、主要任务，科学制定年度计划，明确牵头单位和工作责任，强化部门联动。</w:t>
      </w:r>
    </w:p>
    <w:p w14:paraId="192CAE0C">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（三）强化规划实施监测评估</w:t>
      </w:r>
    </w:p>
    <w:p w14:paraId="08C5A371">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健全规划实施监测评估体系、动态调整修订机制、监督考核机制，依法动态开展</w:t>
      </w:r>
      <w:r>
        <w:rPr>
          <w:rFonts w:hint="eastAsia"/>
          <w:color w:val="auto"/>
          <w:lang w:eastAsia="zh-CN"/>
        </w:rPr>
        <w:t>“十五五”规划</w:t>
      </w:r>
      <w:r>
        <w:rPr>
          <w:color w:val="auto"/>
        </w:rPr>
        <w:t>年度跟踪监测、中期评估和末期全面评估，强化监测评估结果应用。严格依法依规开展规划调整更改。将本规划实施情况纳入各有关部门、各级领导班子和干部考核体系。</w:t>
      </w:r>
    </w:p>
    <w:p w14:paraId="7FF70316">
      <w:pPr>
        <w:pStyle w:val="4"/>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（四）强化要素政策协同保障</w:t>
      </w:r>
    </w:p>
    <w:p w14:paraId="58C53F67">
      <w:pPr>
        <w:pStyle w:val="3"/>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加强中期财政规划和年度预算、投资计划与本规划实施的衔接协调，合理安排财政支出规模和结构。强化金融、土地、能源、水资源等要素保障，有效引导社会资源合理配置。加强经济社会发展政策的统筹协调，注重政策目标与政策工具、短期政策与长期政策的衔接配合。</w:t>
      </w:r>
    </w:p>
    <w:sectPr>
      <w:headerReference r:id="rId6" w:type="first"/>
      <w:footerReference r:id="rId9" w:type="first"/>
      <w:footerReference r:id="rId7" w:type="default"/>
      <w:headerReference r:id="rId5" w:type="even"/>
      <w:footerReference r:id="rId8" w:type="even"/>
      <w:footnotePr>
        <w:numRestart w:val="eachSect"/>
      </w:footnotePr>
      <w:pgSz w:w="12240" w:h="15840"/>
      <w:pgMar w:top="1440" w:right="1800" w:bottom="1440" w:left="1800" w:header="720" w:footer="1020" w:gutter="0"/>
      <w:pgNumType w:fmt="decimal"/>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4C52B5-3BB5-4751-9C25-54D071AACF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20B0004020202020204"/>
    <w:charset w:val="00"/>
    <w:family w:val="swiss"/>
    <w:pitch w:val="default"/>
    <w:sig w:usb0="00000000" w:usb1="00000000" w:usb2="00000000" w:usb3="00000000" w:csb0="0000019F" w:csb1="00000000"/>
    <w:embedRegular r:id="rId2" w:fontKey="{C374E1C5-1C77-4135-B836-BEF1331617FE}"/>
  </w:font>
  <w:font w:name="Segoe UI">
    <w:panose1 w:val="020B05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embedRegular r:id="rId3" w:fontKey="{CF017F52-D226-4C45-9352-EDE0ADC2E674}"/>
  </w:font>
  <w:font w:name="仿宋_GB2312">
    <w:panose1 w:val="02010609030101010101"/>
    <w:charset w:val="86"/>
    <w:family w:val="modern"/>
    <w:pitch w:val="default"/>
    <w:sig w:usb0="00000001" w:usb1="080E0000" w:usb2="00000000" w:usb3="00000000" w:csb0="00040000" w:csb1="00000000"/>
    <w:embedRegular r:id="rId4" w:fontKey="{FAF71BFE-02A7-4A68-84FC-1977B3ED2943}"/>
  </w:font>
  <w:font w:name="Times New Roman (正文 CS 字体)">
    <w:altName w:val="宋体"/>
    <w:panose1 w:val="020B0604020202020204"/>
    <w:charset w:val="86"/>
    <w:family w:val="roman"/>
    <w:pitch w:val="default"/>
    <w:sig w:usb0="00000000" w:usb1="00000000" w:usb2="00000000" w:usb3="00000000" w:csb0="00000000" w:csb1="00000000"/>
  </w:font>
  <w:font w:name="Times New Roman (标题 CS)">
    <w:altName w:val="宋体"/>
    <w:panose1 w:val="020B0604020202020204"/>
    <w:charset w:val="86"/>
    <w:family w:val="roma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embedRegular r:id="rId5" w:fontKey="{2B075F9B-3465-42E6-BE7A-D6E6C7B7AC12}"/>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Aptos Display">
    <w:altName w:val="Segoe UI"/>
    <w:panose1 w:val="020B0004020202020204"/>
    <w:charset w:val="00"/>
    <w:family w:val="swiss"/>
    <w:pitch w:val="default"/>
    <w:sig w:usb0="00000000" w:usb1="00000000" w:usb2="00000000" w:usb3="00000000" w:csb0="0000019F" w:csb1="00000000"/>
  </w:font>
  <w:font w:name="方正小标宋简体">
    <w:panose1 w:val="02000000000000000000"/>
    <w:charset w:val="86"/>
    <w:family w:val="auto"/>
    <w:pitch w:val="default"/>
    <w:sig w:usb0="00000001" w:usb1="08000000" w:usb2="00000000" w:usb3="00000000" w:csb0="00040000" w:csb1="00000000"/>
    <w:embedRegular r:id="rId6" w:fontKey="{ED29C192-E4ED-4D13-A26B-89DA7A86B104}"/>
  </w:font>
  <w:font w:name="WPSEMBED2">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汉仪中宋简">
    <w:panose1 w:val="02010600000101010101"/>
    <w:charset w:val="80"/>
    <w:family w:val="auto"/>
    <w:pitch w:val="default"/>
    <w:sig w:usb0="800002BF" w:usb1="184F6CF8" w:usb2="00000012" w:usb3="00000000" w:csb0="00020001" w:csb1="00000000"/>
  </w:font>
  <w:font w:name="汉仪典雅体简">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509A4">
    <w:pPr>
      <w:pStyle w:val="16"/>
      <w:wordWrap w:val="0"/>
      <w:jc w:val="right"/>
      <w:rPr>
        <w:sz w:val="24"/>
        <w:szCs w:val="24"/>
        <w:lang w:eastAsia="zh-CN"/>
      </w:rPr>
    </w:pPr>
    <w:r>
      <w:rPr>
        <w:sz w:val="24"/>
      </w:rPr>
      <mc:AlternateContent>
        <mc:Choice Requires="wps">
          <w:drawing>
            <wp:anchor distT="0" distB="0" distL="114300" distR="114300" simplePos="0" relativeHeight="251659264" behindDoc="0" locked="0" layoutInCell="1" allowOverlap="1">
              <wp:simplePos x="0" y="0"/>
              <wp:positionH relativeFrom="margin">
                <wp:posOffset>2472055</wp:posOffset>
              </wp:positionH>
              <wp:positionV relativeFrom="paragraph">
                <wp:posOffset>-41910</wp:posOffset>
              </wp:positionV>
              <wp:extent cx="401320" cy="20701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01320" cy="2070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753C1">
                          <w:pPr>
                            <w:pStyle w:val="16"/>
                            <w:ind w:left="0" w:leftChars="0" w:firstLine="0" w:firstLineChars="0"/>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4.65pt;margin-top:-3.3pt;height:16.3pt;width:31.6pt;mso-position-horizontal-relative:margin;z-index:251659264;mso-width-relative:page;mso-height-relative:page;" filled="f" stroked="f" coordsize="21600,21600" o:gfxdata="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IMhztNkAAAAJAQAADwAAAAAAAAABACAAAAAiAAAAZHJzL2Rvd25y&#10;ZXYueG1sUEsBAhQAFAAAAAgAh07iQMlxg1A2AgAAYQQAAA4AAAAAAAAAAQAgAAAAKAEAAGRycy9l&#10;Mm9Eb2MueG1sUEsFBgAAAAAGAAYAWQEAANAFAAAAAA==&#10;">
              <v:fill on="f" focussize="0,0"/>
              <v:stroke on="f" weight="0.5pt"/>
              <v:imagedata o:title=""/>
              <o:lock v:ext="edit" aspectratio="f"/>
              <v:textbox inset="0mm,0mm,0mm,0mm">
                <w:txbxContent>
                  <w:p w14:paraId="78A753C1">
                    <w:pPr>
                      <w:pStyle w:val="16"/>
                      <w:ind w:left="0" w:leftChars="0" w:firstLine="0" w:firstLineChars="0"/>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4E0DF">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175C">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6C21E">
    <w:pPr>
      <w:pStyle w:val="1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FA26">
    <w:pPr>
      <w:pStyle w:val="1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A67"/>
    <w:rsid w:val="00196211"/>
    <w:rsid w:val="001C7A67"/>
    <w:rsid w:val="003054F1"/>
    <w:rsid w:val="004825C6"/>
    <w:rsid w:val="0051628A"/>
    <w:rsid w:val="005464E3"/>
    <w:rsid w:val="005F6CBF"/>
    <w:rsid w:val="00643110"/>
    <w:rsid w:val="00746C97"/>
    <w:rsid w:val="008708D9"/>
    <w:rsid w:val="00977478"/>
    <w:rsid w:val="00AF517C"/>
    <w:rsid w:val="00BF08D0"/>
    <w:rsid w:val="00CF7597"/>
    <w:rsid w:val="00D90F1F"/>
    <w:rsid w:val="00EC61BB"/>
    <w:rsid w:val="00FA401C"/>
    <w:rsid w:val="00FD76EA"/>
    <w:rsid w:val="00FE619A"/>
    <w:rsid w:val="013E4AD1"/>
    <w:rsid w:val="034F0987"/>
    <w:rsid w:val="071F1971"/>
    <w:rsid w:val="07D653C6"/>
    <w:rsid w:val="087D1CE6"/>
    <w:rsid w:val="0C1C7DD4"/>
    <w:rsid w:val="0DF5199B"/>
    <w:rsid w:val="114A5C90"/>
    <w:rsid w:val="127A5D49"/>
    <w:rsid w:val="158C595B"/>
    <w:rsid w:val="1C375F14"/>
    <w:rsid w:val="1DB945BC"/>
    <w:rsid w:val="2266345B"/>
    <w:rsid w:val="23C20DF2"/>
    <w:rsid w:val="29BB3478"/>
    <w:rsid w:val="29C75894"/>
    <w:rsid w:val="2A63331F"/>
    <w:rsid w:val="2BE70BA0"/>
    <w:rsid w:val="2CDF3CB3"/>
    <w:rsid w:val="2CF37C0E"/>
    <w:rsid w:val="2D0A773C"/>
    <w:rsid w:val="2FAF35B1"/>
    <w:rsid w:val="30ED53AB"/>
    <w:rsid w:val="3C637051"/>
    <w:rsid w:val="3F501221"/>
    <w:rsid w:val="4012098A"/>
    <w:rsid w:val="40C571E4"/>
    <w:rsid w:val="41872CB2"/>
    <w:rsid w:val="42424E2B"/>
    <w:rsid w:val="47D16F77"/>
    <w:rsid w:val="48F34A1D"/>
    <w:rsid w:val="4D8F2761"/>
    <w:rsid w:val="4EDE515E"/>
    <w:rsid w:val="55431F45"/>
    <w:rsid w:val="57242F47"/>
    <w:rsid w:val="5A7B4930"/>
    <w:rsid w:val="5CD5691D"/>
    <w:rsid w:val="5D5313E0"/>
    <w:rsid w:val="655A0AE0"/>
    <w:rsid w:val="69D6108D"/>
    <w:rsid w:val="6A2D6DB4"/>
    <w:rsid w:val="6B166CD1"/>
    <w:rsid w:val="6C6E2392"/>
    <w:rsid w:val="6CD02948"/>
    <w:rsid w:val="6D3F0B66"/>
    <w:rsid w:val="6D5B5FC4"/>
    <w:rsid w:val="730C736C"/>
    <w:rsid w:val="73CB77E1"/>
    <w:rsid w:val="76F02983"/>
    <w:rsid w:val="77FE2FC7"/>
    <w:rsid w:val="7BA25963"/>
    <w:rsid w:val="7D501861"/>
    <w:rsid w:val="7E3179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600" w:lineRule="exact"/>
      <w:ind w:firstLine="800" w:firstLineChars="200"/>
      <w:jc w:val="both"/>
    </w:pPr>
    <w:rPr>
      <w:rFonts w:ascii="Arial" w:hAnsi="Arial" w:eastAsia="仿宋_GB2312" w:cs="Times New Roman (正文 CS 字体)"/>
      <w:sz w:val="32"/>
      <w:szCs w:val="24"/>
      <w:lang w:val="en-US" w:eastAsia="en-US" w:bidi="ar-SA"/>
    </w:rPr>
  </w:style>
  <w:style w:type="paragraph" w:styleId="2">
    <w:name w:val="heading 1"/>
    <w:basedOn w:val="1"/>
    <w:next w:val="3"/>
    <w:link w:val="34"/>
    <w:qFormat/>
    <w:uiPriority w:val="9"/>
    <w:pPr>
      <w:keepNext/>
      <w:keepLines/>
      <w:outlineLvl w:val="0"/>
    </w:pPr>
    <w:rPr>
      <w:rFonts w:ascii="Arial" w:hAnsi="Arial" w:eastAsia="黑体" w:cs="Times New Roman (标题 CS)"/>
      <w:szCs w:val="40"/>
    </w:rPr>
  </w:style>
  <w:style w:type="paragraph" w:styleId="4">
    <w:name w:val="heading 2"/>
    <w:basedOn w:val="1"/>
    <w:next w:val="3"/>
    <w:link w:val="35"/>
    <w:unhideWhenUsed/>
    <w:qFormat/>
    <w:uiPriority w:val="9"/>
    <w:pPr>
      <w:keepNext/>
      <w:keepLines/>
      <w:outlineLvl w:val="1"/>
    </w:pPr>
    <w:rPr>
      <w:rFonts w:ascii="Arial" w:hAnsi="Arial" w:eastAsia="楷体_GB2312" w:cs="Times New Roman (标题 CS)"/>
      <w:szCs w:val="32"/>
    </w:rPr>
  </w:style>
  <w:style w:type="paragraph" w:styleId="5">
    <w:name w:val="heading 3"/>
    <w:basedOn w:val="1"/>
    <w:next w:val="3"/>
    <w:link w:val="36"/>
    <w:unhideWhenUsed/>
    <w:qFormat/>
    <w:uiPriority w:val="9"/>
    <w:pPr>
      <w:keepNext/>
      <w:keepLines/>
      <w:outlineLvl w:val="2"/>
    </w:pPr>
    <w:rPr>
      <w:rFonts w:eastAsia="黑体" w:cs="Times New Roman (标题 CS)"/>
      <w:sz w:val="26"/>
      <w:szCs w:val="28"/>
    </w:rPr>
  </w:style>
  <w:style w:type="paragraph" w:styleId="6">
    <w:name w:val="heading 4"/>
    <w:basedOn w:val="5"/>
    <w:next w:val="3"/>
    <w:link w:val="37"/>
    <w:unhideWhenUsed/>
    <w:qFormat/>
    <w:uiPriority w:val="9"/>
    <w:pPr>
      <w:outlineLvl w:val="3"/>
    </w:pPr>
  </w:style>
  <w:style w:type="paragraph" w:styleId="7">
    <w:name w:val="heading 5"/>
    <w:basedOn w:val="6"/>
    <w:next w:val="3"/>
    <w:link w:val="38"/>
    <w:unhideWhenUsed/>
    <w:qFormat/>
    <w:uiPriority w:val="9"/>
    <w:pPr>
      <w:outlineLvl w:val="4"/>
    </w:pPr>
  </w:style>
  <w:style w:type="paragraph" w:styleId="8">
    <w:name w:val="heading 6"/>
    <w:basedOn w:val="7"/>
    <w:next w:val="3"/>
    <w:link w:val="39"/>
    <w:unhideWhenUsed/>
    <w:qFormat/>
    <w:uiPriority w:val="9"/>
    <w:pPr>
      <w:outlineLvl w:val="5"/>
    </w:pPr>
  </w:style>
  <w:style w:type="paragraph" w:styleId="9">
    <w:name w:val="heading 7"/>
    <w:basedOn w:val="8"/>
    <w:next w:val="3"/>
    <w:link w:val="40"/>
    <w:unhideWhenUsed/>
    <w:qFormat/>
    <w:uiPriority w:val="9"/>
    <w:pPr>
      <w:outlineLvl w:val="6"/>
    </w:pPr>
  </w:style>
  <w:style w:type="paragraph" w:styleId="10">
    <w:name w:val="heading 8"/>
    <w:basedOn w:val="9"/>
    <w:next w:val="3"/>
    <w:link w:val="41"/>
    <w:unhideWhenUsed/>
    <w:qFormat/>
    <w:uiPriority w:val="9"/>
    <w:pPr>
      <w:outlineLvl w:val="7"/>
    </w:pPr>
  </w:style>
  <w:style w:type="paragraph" w:styleId="11">
    <w:name w:val="heading 9"/>
    <w:basedOn w:val="10"/>
    <w:next w:val="3"/>
    <w:link w:val="42"/>
    <w:unhideWhenUsed/>
    <w:qFormat/>
    <w:uiPriority w:val="9"/>
    <w:pPr>
      <w:outlineLvl w:val="8"/>
    </w:p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style>
  <w:style w:type="paragraph" w:styleId="12">
    <w:name w:val="caption"/>
    <w:basedOn w:val="1"/>
    <w:link w:val="24"/>
    <w:qFormat/>
    <w:uiPriority w:val="0"/>
    <w:pPr>
      <w:spacing w:after="120"/>
    </w:pPr>
    <w:rPr>
      <w:i/>
    </w:rPr>
  </w:style>
  <w:style w:type="paragraph" w:styleId="13">
    <w:name w:val="Block Text"/>
    <w:basedOn w:val="3"/>
    <w:next w:val="3"/>
    <w:unhideWhenUsed/>
    <w:qFormat/>
    <w:uiPriority w:val="9"/>
    <w:pPr>
      <w:spacing w:before="100" w:after="100"/>
      <w:ind w:left="480" w:right="480"/>
    </w:pPr>
  </w:style>
  <w:style w:type="paragraph" w:styleId="14">
    <w:name w:val="Date"/>
    <w:basedOn w:val="15"/>
    <w:next w:val="3"/>
    <w:qFormat/>
    <w:uiPriority w:val="0"/>
    <w:pPr>
      <w:keepNext/>
      <w:keepLines/>
    </w:pPr>
    <w:rPr>
      <w:sz w:val="24"/>
      <w:szCs w:val="24"/>
    </w:rPr>
  </w:style>
  <w:style w:type="paragraph" w:styleId="15">
    <w:name w:val="Title"/>
    <w:basedOn w:val="1"/>
    <w:next w:val="3"/>
    <w:link w:val="28"/>
    <w:qFormat/>
    <w:uiPriority w:val="10"/>
    <w:pPr>
      <w:contextualSpacing/>
      <w:jc w:val="center"/>
    </w:pPr>
    <w:rPr>
      <w:rFonts w:eastAsia="黑体" w:cs="Times New Roman (标题 CS)"/>
      <w:sz w:val="30"/>
      <w:szCs w:val="56"/>
    </w:rPr>
  </w:style>
  <w:style w:type="paragraph" w:styleId="16">
    <w:name w:val="footer"/>
    <w:basedOn w:val="1"/>
    <w:link w:val="57"/>
    <w:qFormat/>
    <w:uiPriority w:val="0"/>
    <w:pPr>
      <w:tabs>
        <w:tab w:val="center" w:pos="4153"/>
        <w:tab w:val="right" w:pos="8306"/>
      </w:tabs>
      <w:snapToGrid w:val="0"/>
      <w:spacing w:line="240" w:lineRule="auto"/>
    </w:pPr>
    <w:rPr>
      <w:sz w:val="18"/>
      <w:szCs w:val="18"/>
    </w:rPr>
  </w:style>
  <w:style w:type="paragraph" w:styleId="17">
    <w:name w:val="header"/>
    <w:basedOn w:val="1"/>
    <w:link w:val="56"/>
    <w:qFormat/>
    <w:uiPriority w:val="0"/>
    <w:pPr>
      <w:tabs>
        <w:tab w:val="center" w:pos="4153"/>
        <w:tab w:val="right" w:pos="8306"/>
      </w:tabs>
      <w:snapToGrid w:val="0"/>
      <w:spacing w:line="240" w:lineRule="auto"/>
      <w:jc w:val="center"/>
    </w:pPr>
    <w:rPr>
      <w:sz w:val="18"/>
      <w:szCs w:val="18"/>
    </w:rPr>
  </w:style>
  <w:style w:type="paragraph" w:styleId="18">
    <w:name w:val="Subtitle"/>
    <w:basedOn w:val="15"/>
    <w:next w:val="3"/>
    <w:link w:val="29"/>
    <w:qFormat/>
    <w:uiPriority w:val="11"/>
    <w:rPr>
      <w:rFonts w:eastAsiaTheme="majorEastAsia" w:cstheme="majorBidi"/>
      <w:spacing w:val="15"/>
      <w:sz w:val="28"/>
      <w:szCs w:val="28"/>
    </w:rPr>
  </w:style>
  <w:style w:type="paragraph" w:styleId="19">
    <w:name w:val="footnote text"/>
    <w:basedOn w:val="1"/>
    <w:unhideWhenUsed/>
    <w:qFormat/>
    <w:uiPriority w:val="9"/>
    <w:rPr>
      <w:sz w:val="18"/>
    </w:rPr>
  </w:style>
  <w:style w:type="table" w:styleId="21">
    <w:name w:val="Table Grid"/>
    <w:basedOn w:val="20"/>
    <w:qFormat/>
    <w:uiPriority w:val="0"/>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4"/>
    <w:qFormat/>
    <w:uiPriority w:val="0"/>
    <w:rPr>
      <w:color w:val="156082" w:themeColor="accent1"/>
      <w14:textFill>
        <w14:solidFill>
          <w14:schemeClr w14:val="accent1"/>
        </w14:solidFill>
      </w14:textFill>
    </w:rPr>
  </w:style>
  <w:style w:type="character" w:customStyle="1" w:styleId="24">
    <w:name w:val="题注 字符"/>
    <w:basedOn w:val="22"/>
    <w:link w:val="12"/>
    <w:qFormat/>
    <w:uiPriority w:val="0"/>
  </w:style>
  <w:style w:type="character" w:styleId="25">
    <w:name w:val="footnote reference"/>
    <w:basedOn w:val="24"/>
    <w:qFormat/>
    <w:uiPriority w:val="0"/>
    <w:rPr>
      <w:vertAlign w:val="superscript"/>
    </w:rPr>
  </w:style>
  <w:style w:type="paragraph" w:customStyle="1" w:styleId="26">
    <w:name w:val="First Paragraph"/>
    <w:basedOn w:val="3"/>
    <w:next w:val="3"/>
    <w:qFormat/>
    <w:uiPriority w:val="0"/>
  </w:style>
  <w:style w:type="paragraph" w:customStyle="1" w:styleId="27">
    <w:name w:val="Compact"/>
    <w:basedOn w:val="3"/>
    <w:qFormat/>
    <w:uiPriority w:val="0"/>
    <w:pPr>
      <w:spacing w:before="36" w:after="36"/>
    </w:pPr>
  </w:style>
  <w:style w:type="character" w:customStyle="1" w:styleId="28">
    <w:name w:val="标题 字符"/>
    <w:basedOn w:val="22"/>
    <w:link w:val="15"/>
    <w:qFormat/>
    <w:uiPriority w:val="10"/>
    <w:rPr>
      <w:rFonts w:ascii="Arial" w:hAnsi="Arial" w:eastAsia="黑体" w:cs="Times New Roman (标题 CS)"/>
      <w:sz w:val="30"/>
      <w:szCs w:val="56"/>
    </w:rPr>
  </w:style>
  <w:style w:type="character" w:customStyle="1" w:styleId="29">
    <w:name w:val="副标题 字符"/>
    <w:basedOn w:val="22"/>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30">
    <w:name w:val="Author"/>
    <w:basedOn w:val="15"/>
    <w:next w:val="3"/>
    <w:qFormat/>
    <w:uiPriority w:val="0"/>
    <w:pPr>
      <w:keepNext/>
      <w:keepLines/>
    </w:pPr>
    <w:rPr>
      <w:sz w:val="24"/>
      <w:szCs w:val="24"/>
    </w:rPr>
  </w:style>
  <w:style w:type="paragraph" w:customStyle="1" w:styleId="31">
    <w:name w:val="Abstract Title"/>
    <w:basedOn w:val="1"/>
    <w:next w:val="32"/>
    <w:qFormat/>
    <w:uiPriority w:val="0"/>
    <w:pPr>
      <w:keepNext/>
      <w:keepLines/>
      <w:spacing w:before="300"/>
      <w:jc w:val="center"/>
    </w:pPr>
    <w:rPr>
      <w:b/>
      <w:sz w:val="20"/>
      <w:szCs w:val="20"/>
    </w:rPr>
  </w:style>
  <w:style w:type="paragraph" w:customStyle="1" w:styleId="32">
    <w:name w:val="Abstract"/>
    <w:basedOn w:val="1"/>
    <w:next w:val="3"/>
    <w:qFormat/>
    <w:uiPriority w:val="0"/>
    <w:pPr>
      <w:keepNext/>
      <w:keepLines/>
      <w:spacing w:before="100" w:after="300"/>
    </w:pPr>
    <w:rPr>
      <w:sz w:val="20"/>
      <w:szCs w:val="20"/>
    </w:rPr>
  </w:style>
  <w:style w:type="paragraph" w:customStyle="1" w:styleId="33">
    <w:name w:val="Bibliography"/>
    <w:basedOn w:val="1"/>
    <w:qFormat/>
    <w:uiPriority w:val="0"/>
  </w:style>
  <w:style w:type="character" w:customStyle="1" w:styleId="34">
    <w:name w:val="标题 1 字符"/>
    <w:basedOn w:val="22"/>
    <w:link w:val="2"/>
    <w:qFormat/>
    <w:uiPriority w:val="9"/>
    <w:rPr>
      <w:rFonts w:ascii="Arial" w:hAnsi="Arial" w:eastAsia="黑体" w:cs="Times New Roman (标题 CS)"/>
      <w:sz w:val="32"/>
      <w:szCs w:val="40"/>
    </w:rPr>
  </w:style>
  <w:style w:type="character" w:customStyle="1" w:styleId="35">
    <w:name w:val="标题 2 字符"/>
    <w:basedOn w:val="22"/>
    <w:link w:val="4"/>
    <w:semiHidden/>
    <w:qFormat/>
    <w:uiPriority w:val="9"/>
    <w:rPr>
      <w:rFonts w:ascii="Arial" w:hAnsi="Arial" w:eastAsia="楷体_GB2312" w:cs="Times New Roman (标题 CS)"/>
      <w:sz w:val="32"/>
      <w:szCs w:val="32"/>
    </w:rPr>
  </w:style>
  <w:style w:type="character" w:customStyle="1" w:styleId="36">
    <w:name w:val="标题 3 字符"/>
    <w:basedOn w:val="22"/>
    <w:link w:val="5"/>
    <w:semiHidden/>
    <w:qFormat/>
    <w:uiPriority w:val="9"/>
    <w:rPr>
      <w:rFonts w:ascii="Arial" w:hAnsi="Arial" w:eastAsia="黑体" w:cs="Times New Roman (标题 CS)"/>
      <w:sz w:val="26"/>
      <w:szCs w:val="28"/>
    </w:rPr>
  </w:style>
  <w:style w:type="character" w:customStyle="1" w:styleId="37">
    <w:name w:val="标题 4 字符"/>
    <w:basedOn w:val="22"/>
    <w:link w:val="6"/>
    <w:qFormat/>
    <w:uiPriority w:val="9"/>
    <w:rPr>
      <w:rFonts w:ascii="Arial" w:hAnsi="Arial" w:eastAsia="黑体" w:cs="Times New Roman (标题 CS)"/>
      <w:color w:val="104862" w:themeColor="accent1" w:themeShade="BF"/>
      <w:sz w:val="26"/>
      <w:szCs w:val="28"/>
    </w:rPr>
  </w:style>
  <w:style w:type="character" w:customStyle="1" w:styleId="38">
    <w:name w:val="标题 5 字符"/>
    <w:basedOn w:val="22"/>
    <w:link w:val="7"/>
    <w:qFormat/>
    <w:uiPriority w:val="9"/>
    <w:rPr>
      <w:rFonts w:ascii="Arial" w:hAnsi="Arial" w:eastAsia="黑体" w:cs="Times New Roman (标题 CS)"/>
      <w:color w:val="104862" w:themeColor="accent1" w:themeShade="BF"/>
      <w:sz w:val="26"/>
      <w:szCs w:val="28"/>
    </w:rPr>
  </w:style>
  <w:style w:type="character" w:customStyle="1" w:styleId="39">
    <w:name w:val="标题 6 字符"/>
    <w:basedOn w:val="22"/>
    <w:link w:val="8"/>
    <w:qFormat/>
    <w:uiPriority w:val="9"/>
    <w:rPr>
      <w:rFonts w:ascii="Arial" w:hAnsi="Arial" w:eastAsia="黑体" w:cs="Times New Roman (标题 CS)"/>
      <w:color w:val="104862" w:themeColor="accent1" w:themeShade="BF"/>
      <w:sz w:val="26"/>
      <w:szCs w:val="28"/>
    </w:rPr>
  </w:style>
  <w:style w:type="character" w:customStyle="1" w:styleId="40">
    <w:name w:val="标题 7 字符"/>
    <w:basedOn w:val="22"/>
    <w:link w:val="9"/>
    <w:qFormat/>
    <w:uiPriority w:val="9"/>
    <w:rPr>
      <w:rFonts w:ascii="Arial" w:hAnsi="Arial" w:eastAsia="黑体" w:cs="Times New Roman (标题 CS)"/>
      <w:color w:val="104862" w:themeColor="accent1" w:themeShade="BF"/>
      <w:sz w:val="26"/>
      <w:szCs w:val="28"/>
    </w:rPr>
  </w:style>
  <w:style w:type="character" w:customStyle="1" w:styleId="41">
    <w:name w:val="标题 8 字符"/>
    <w:basedOn w:val="22"/>
    <w:link w:val="10"/>
    <w:qFormat/>
    <w:uiPriority w:val="9"/>
    <w:rPr>
      <w:rFonts w:ascii="Arial" w:hAnsi="Arial" w:eastAsia="黑体" w:cs="Times New Roman (标题 CS)"/>
      <w:color w:val="104862" w:themeColor="accent1" w:themeShade="BF"/>
      <w:sz w:val="26"/>
      <w:szCs w:val="28"/>
    </w:rPr>
  </w:style>
  <w:style w:type="character" w:customStyle="1" w:styleId="42">
    <w:name w:val="标题 9 字符"/>
    <w:basedOn w:val="22"/>
    <w:link w:val="11"/>
    <w:qFormat/>
    <w:uiPriority w:val="9"/>
    <w:rPr>
      <w:rFonts w:ascii="Arial" w:hAnsi="Arial" w:eastAsia="黑体" w:cs="Times New Roman (标题 CS)"/>
      <w:color w:val="104862" w:themeColor="accent1" w:themeShade="BF"/>
      <w:sz w:val="26"/>
      <w:szCs w:val="28"/>
    </w:rPr>
  </w:style>
  <w:style w:type="paragraph" w:customStyle="1" w:styleId="43">
    <w:name w:val="Footnote Block Text"/>
    <w:basedOn w:val="19"/>
    <w:next w:val="19"/>
    <w:unhideWhenUsed/>
    <w:qFormat/>
    <w:uiPriority w:val="9"/>
    <w:pPr>
      <w:spacing w:before="100" w:after="100"/>
      <w:ind w:left="480" w:right="480"/>
    </w:pPr>
  </w:style>
  <w:style w:type="table" w:customStyle="1" w:styleId="44">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5">
    <w:name w:val="Definition Term"/>
    <w:basedOn w:val="1"/>
    <w:next w:val="46"/>
    <w:qFormat/>
    <w:uiPriority w:val="0"/>
    <w:pPr>
      <w:keepNext/>
      <w:keepLines/>
    </w:pPr>
    <w:rPr>
      <w:b/>
    </w:rPr>
  </w:style>
  <w:style w:type="paragraph" w:customStyle="1" w:styleId="46">
    <w:name w:val="Definition"/>
    <w:basedOn w:val="1"/>
    <w:qFormat/>
    <w:uiPriority w:val="0"/>
  </w:style>
  <w:style w:type="paragraph" w:customStyle="1" w:styleId="47">
    <w:name w:val="Table Caption"/>
    <w:basedOn w:val="12"/>
    <w:qFormat/>
    <w:uiPriority w:val="0"/>
    <w:pPr>
      <w:keepNext/>
      <w:spacing w:after="0"/>
      <w:jc w:val="center"/>
    </w:pPr>
    <w:rPr>
      <w:i w:val="0"/>
      <w:sz w:val="20"/>
    </w:rPr>
  </w:style>
  <w:style w:type="paragraph" w:customStyle="1" w:styleId="48">
    <w:name w:val="Image Caption"/>
    <w:basedOn w:val="12"/>
    <w:qFormat/>
    <w:uiPriority w:val="0"/>
    <w:pPr>
      <w:spacing w:after="0"/>
      <w:jc w:val="center"/>
    </w:pPr>
    <w:rPr>
      <w:i w:val="0"/>
      <w:sz w:val="20"/>
    </w:rPr>
  </w:style>
  <w:style w:type="paragraph" w:customStyle="1" w:styleId="49">
    <w:name w:val="Figure"/>
    <w:basedOn w:val="1"/>
    <w:qFormat/>
    <w:uiPriority w:val="0"/>
  </w:style>
  <w:style w:type="paragraph" w:customStyle="1" w:styleId="50">
    <w:name w:val="Captioned Figure"/>
    <w:basedOn w:val="49"/>
    <w:qFormat/>
    <w:uiPriority w:val="0"/>
    <w:pPr>
      <w:keepNext/>
    </w:pPr>
  </w:style>
  <w:style w:type="character" w:customStyle="1" w:styleId="51">
    <w:name w:val="Verbatim Char"/>
    <w:basedOn w:val="24"/>
    <w:link w:val="52"/>
    <w:qFormat/>
    <w:uiPriority w:val="0"/>
    <w:rPr>
      <w:rFonts w:ascii="Consolas" w:hAnsi="Consolas"/>
      <w:sz w:val="22"/>
    </w:rPr>
  </w:style>
  <w:style w:type="paragraph" w:customStyle="1" w:styleId="52">
    <w:name w:val="Source Code"/>
    <w:link w:val="51"/>
    <w:qFormat/>
    <w:uiPriority w:val="0"/>
    <w:pPr>
      <w:wordWrap w:val="0"/>
      <w:spacing w:after="200"/>
    </w:pPr>
    <w:rPr>
      <w:rFonts w:asciiTheme="minorHAnsi" w:hAnsiTheme="minorHAnsi" w:eastAsiaTheme="minorEastAsia" w:cstheme="minorBidi"/>
      <w:sz w:val="24"/>
      <w:szCs w:val="24"/>
      <w:lang w:val="en-US" w:eastAsia="en-US" w:bidi="ar-SA"/>
    </w:rPr>
  </w:style>
  <w:style w:type="character" w:customStyle="1" w:styleId="53">
    <w:name w:val="Section Number"/>
    <w:basedOn w:val="24"/>
    <w:qFormat/>
    <w:uiPriority w:val="0"/>
  </w:style>
  <w:style w:type="paragraph" w:customStyle="1" w:styleId="54">
    <w:name w:val="TOC Heading"/>
    <w:basedOn w:val="2"/>
    <w:next w:val="3"/>
    <w:unhideWhenUsed/>
    <w:qFormat/>
    <w:uiPriority w:val="39"/>
    <w:pPr>
      <w:spacing w:before="240" w:line="259" w:lineRule="auto"/>
      <w:outlineLvl w:val="9"/>
    </w:pPr>
    <w:rPr>
      <w:rFonts w:asciiTheme="majorHAnsi" w:hAnsiTheme="majorHAnsi" w:eastAsiaTheme="majorEastAsia" w:cstheme="majorBidi"/>
    </w:rPr>
  </w:style>
  <w:style w:type="paragraph" w:styleId="55">
    <w:name w:val="List Paragraph"/>
    <w:basedOn w:val="3"/>
    <w:qFormat/>
    <w:uiPriority w:val="0"/>
    <w:pPr>
      <w:ind w:firstLine="420" w:firstLineChars="200"/>
    </w:pPr>
  </w:style>
  <w:style w:type="character" w:customStyle="1" w:styleId="56">
    <w:name w:val="页眉 字符"/>
    <w:basedOn w:val="22"/>
    <w:link w:val="17"/>
    <w:qFormat/>
    <w:uiPriority w:val="0"/>
    <w:rPr>
      <w:rFonts w:ascii="Arial" w:hAnsi="Arial" w:eastAsia="宋体" w:cs="Times New Roman (正文 CS 字体)"/>
      <w:sz w:val="18"/>
      <w:szCs w:val="18"/>
    </w:rPr>
  </w:style>
  <w:style w:type="character" w:customStyle="1" w:styleId="57">
    <w:name w:val="页脚 字符"/>
    <w:basedOn w:val="22"/>
    <w:link w:val="16"/>
    <w:qFormat/>
    <w:uiPriority w:val="0"/>
    <w:rPr>
      <w:rFonts w:ascii="Arial" w:hAnsi="Arial" w:eastAsia="宋体" w:cs="Times New Roman (正文 CS 字体)"/>
      <w:sz w:val="18"/>
      <w:szCs w:val="18"/>
    </w:rPr>
  </w:style>
  <w:style w:type="character" w:customStyle="1" w:styleId="58">
    <w:name w:val="KeywordTok"/>
    <w:basedOn w:val="51"/>
    <w:qFormat/>
    <w:uiPriority w:val="0"/>
    <w:rPr>
      <w:b/>
      <w:color w:val="007020"/>
    </w:rPr>
  </w:style>
  <w:style w:type="character" w:customStyle="1" w:styleId="59">
    <w:name w:val="DataTypeTok"/>
    <w:basedOn w:val="51"/>
    <w:qFormat/>
    <w:uiPriority w:val="0"/>
    <w:rPr>
      <w:color w:val="902000"/>
    </w:rPr>
  </w:style>
  <w:style w:type="character" w:customStyle="1" w:styleId="60">
    <w:name w:val="DecValTok"/>
    <w:basedOn w:val="51"/>
    <w:qFormat/>
    <w:uiPriority w:val="0"/>
    <w:rPr>
      <w:color w:val="40A070"/>
    </w:rPr>
  </w:style>
  <w:style w:type="character" w:customStyle="1" w:styleId="61">
    <w:name w:val="BaseNTok"/>
    <w:basedOn w:val="51"/>
    <w:qFormat/>
    <w:uiPriority w:val="0"/>
    <w:rPr>
      <w:color w:val="40A070"/>
    </w:rPr>
  </w:style>
  <w:style w:type="character" w:customStyle="1" w:styleId="62">
    <w:name w:val="FloatTok"/>
    <w:basedOn w:val="51"/>
    <w:qFormat/>
    <w:uiPriority w:val="0"/>
    <w:rPr>
      <w:color w:val="40A070"/>
    </w:rPr>
  </w:style>
  <w:style w:type="character" w:customStyle="1" w:styleId="63">
    <w:name w:val="ConstantTok"/>
    <w:basedOn w:val="51"/>
    <w:qFormat/>
    <w:uiPriority w:val="0"/>
    <w:rPr>
      <w:color w:val="880000"/>
    </w:rPr>
  </w:style>
  <w:style w:type="character" w:customStyle="1" w:styleId="64">
    <w:name w:val="CharTok"/>
    <w:basedOn w:val="51"/>
    <w:qFormat/>
    <w:uiPriority w:val="0"/>
    <w:rPr>
      <w:color w:val="4070A0"/>
    </w:rPr>
  </w:style>
  <w:style w:type="character" w:customStyle="1" w:styleId="65">
    <w:name w:val="SpecialCharTok"/>
    <w:basedOn w:val="51"/>
    <w:qFormat/>
    <w:uiPriority w:val="0"/>
    <w:rPr>
      <w:color w:val="4070A0"/>
    </w:rPr>
  </w:style>
  <w:style w:type="character" w:customStyle="1" w:styleId="66">
    <w:name w:val="StringTok"/>
    <w:basedOn w:val="51"/>
    <w:qFormat/>
    <w:uiPriority w:val="0"/>
    <w:rPr>
      <w:color w:val="4070A0"/>
    </w:rPr>
  </w:style>
  <w:style w:type="character" w:customStyle="1" w:styleId="67">
    <w:name w:val="VerbatimStringTok"/>
    <w:basedOn w:val="51"/>
    <w:qFormat/>
    <w:uiPriority w:val="0"/>
    <w:rPr>
      <w:color w:val="4070A0"/>
    </w:rPr>
  </w:style>
  <w:style w:type="character" w:customStyle="1" w:styleId="68">
    <w:name w:val="SpecialStringTok"/>
    <w:basedOn w:val="51"/>
    <w:qFormat/>
    <w:uiPriority w:val="0"/>
    <w:rPr>
      <w:color w:val="BB6688"/>
    </w:rPr>
  </w:style>
  <w:style w:type="character" w:customStyle="1" w:styleId="69">
    <w:name w:val="ImportTok"/>
    <w:basedOn w:val="51"/>
    <w:qFormat/>
    <w:uiPriority w:val="0"/>
    <w:rPr>
      <w:b/>
      <w:color w:val="008000"/>
    </w:rPr>
  </w:style>
  <w:style w:type="character" w:customStyle="1" w:styleId="70">
    <w:name w:val="CommentTok"/>
    <w:basedOn w:val="51"/>
    <w:qFormat/>
    <w:uiPriority w:val="0"/>
    <w:rPr>
      <w:i/>
      <w:color w:val="60A0B0"/>
    </w:rPr>
  </w:style>
  <w:style w:type="character" w:customStyle="1" w:styleId="71">
    <w:name w:val="DocumentationTok"/>
    <w:basedOn w:val="51"/>
    <w:qFormat/>
    <w:uiPriority w:val="0"/>
    <w:rPr>
      <w:i/>
      <w:color w:val="BA2121"/>
    </w:rPr>
  </w:style>
  <w:style w:type="character" w:customStyle="1" w:styleId="72">
    <w:name w:val="AnnotationTok"/>
    <w:basedOn w:val="51"/>
    <w:qFormat/>
    <w:uiPriority w:val="0"/>
    <w:rPr>
      <w:b/>
      <w:i/>
      <w:color w:val="60A0B0"/>
    </w:rPr>
  </w:style>
  <w:style w:type="character" w:customStyle="1" w:styleId="73">
    <w:name w:val="CommentVarTok"/>
    <w:basedOn w:val="51"/>
    <w:qFormat/>
    <w:uiPriority w:val="0"/>
    <w:rPr>
      <w:b/>
      <w:i/>
      <w:color w:val="60A0B0"/>
    </w:rPr>
  </w:style>
  <w:style w:type="character" w:customStyle="1" w:styleId="74">
    <w:name w:val="OtherTok"/>
    <w:basedOn w:val="51"/>
    <w:qFormat/>
    <w:uiPriority w:val="0"/>
    <w:rPr>
      <w:color w:val="007020"/>
    </w:rPr>
  </w:style>
  <w:style w:type="character" w:customStyle="1" w:styleId="75">
    <w:name w:val="FunctionTok"/>
    <w:basedOn w:val="51"/>
    <w:qFormat/>
    <w:uiPriority w:val="0"/>
    <w:rPr>
      <w:color w:val="06287E"/>
    </w:rPr>
  </w:style>
  <w:style w:type="character" w:customStyle="1" w:styleId="76">
    <w:name w:val="VariableTok"/>
    <w:basedOn w:val="51"/>
    <w:qFormat/>
    <w:uiPriority w:val="0"/>
    <w:rPr>
      <w:color w:val="19177C"/>
    </w:rPr>
  </w:style>
  <w:style w:type="character" w:customStyle="1" w:styleId="77">
    <w:name w:val="ControlFlowTok"/>
    <w:basedOn w:val="51"/>
    <w:qFormat/>
    <w:uiPriority w:val="0"/>
    <w:rPr>
      <w:b/>
      <w:color w:val="007020"/>
    </w:rPr>
  </w:style>
  <w:style w:type="character" w:customStyle="1" w:styleId="78">
    <w:name w:val="OperatorTok"/>
    <w:basedOn w:val="51"/>
    <w:qFormat/>
    <w:uiPriority w:val="0"/>
    <w:rPr>
      <w:color w:val="666666"/>
    </w:rPr>
  </w:style>
  <w:style w:type="character" w:customStyle="1" w:styleId="79">
    <w:name w:val="BuiltInTok"/>
    <w:basedOn w:val="51"/>
    <w:qFormat/>
    <w:uiPriority w:val="0"/>
    <w:rPr>
      <w:color w:val="008000"/>
    </w:rPr>
  </w:style>
  <w:style w:type="character" w:customStyle="1" w:styleId="80">
    <w:name w:val="ExtensionTok"/>
    <w:basedOn w:val="51"/>
    <w:qFormat/>
    <w:uiPriority w:val="0"/>
  </w:style>
  <w:style w:type="character" w:customStyle="1" w:styleId="81">
    <w:name w:val="PreprocessorTok"/>
    <w:basedOn w:val="51"/>
    <w:qFormat/>
    <w:uiPriority w:val="0"/>
    <w:rPr>
      <w:color w:val="BC7A00"/>
    </w:rPr>
  </w:style>
  <w:style w:type="character" w:customStyle="1" w:styleId="82">
    <w:name w:val="AttributeTok"/>
    <w:basedOn w:val="51"/>
    <w:qFormat/>
    <w:uiPriority w:val="0"/>
    <w:rPr>
      <w:color w:val="7D9029"/>
    </w:rPr>
  </w:style>
  <w:style w:type="character" w:customStyle="1" w:styleId="83">
    <w:name w:val="RegionMarkerTok"/>
    <w:basedOn w:val="51"/>
    <w:qFormat/>
    <w:uiPriority w:val="0"/>
  </w:style>
  <w:style w:type="character" w:customStyle="1" w:styleId="84">
    <w:name w:val="InformationTok"/>
    <w:basedOn w:val="51"/>
    <w:qFormat/>
    <w:uiPriority w:val="0"/>
    <w:rPr>
      <w:b/>
      <w:i/>
      <w:color w:val="60A0B0"/>
    </w:rPr>
  </w:style>
  <w:style w:type="character" w:customStyle="1" w:styleId="85">
    <w:name w:val="WarningTok"/>
    <w:basedOn w:val="51"/>
    <w:qFormat/>
    <w:uiPriority w:val="0"/>
    <w:rPr>
      <w:b/>
      <w:i/>
      <w:color w:val="60A0B0"/>
    </w:rPr>
  </w:style>
  <w:style w:type="character" w:customStyle="1" w:styleId="86">
    <w:name w:val="AlertTok"/>
    <w:basedOn w:val="51"/>
    <w:qFormat/>
    <w:uiPriority w:val="0"/>
    <w:rPr>
      <w:b/>
      <w:color w:val="FF0000"/>
    </w:rPr>
  </w:style>
  <w:style w:type="character" w:customStyle="1" w:styleId="87">
    <w:name w:val="ErrorTok"/>
    <w:basedOn w:val="51"/>
    <w:qFormat/>
    <w:uiPriority w:val="0"/>
    <w:rPr>
      <w:b/>
      <w:color w:val="FF0000"/>
    </w:rPr>
  </w:style>
  <w:style w:type="character" w:customStyle="1" w:styleId="88">
    <w:name w:val="NormalTok"/>
    <w:basedOn w:val="51"/>
    <w:qFormat/>
    <w:uiPriority w:val="0"/>
  </w:style>
  <w:style w:type="paragraph" w:customStyle="1" w:styleId="89">
    <w:name w:val="封皮文字标题"/>
    <w:basedOn w:val="1"/>
    <w:qFormat/>
    <w:uiPriority w:val="0"/>
    <w:pPr>
      <w:ind w:firstLine="0" w:firstLineChars="0"/>
      <w:jc w:val="center"/>
    </w:pPr>
    <w:rPr>
      <w:rFonts w:hint="eastAsia" w:eastAsia="方正小标宋简体"/>
      <w:bCs/>
      <w:sz w:val="48"/>
      <w:szCs w:val="56"/>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733ef15e-b6e7-47d5-b59b-75b4a90fb97b</errorID>
      <errorWord>服务即制造</errorWord>
      <group>L1_Political</group>
      <groupName>政治性问题</groupName>
      <ability>L2_Keyword</ability>
      <abilityName>固定表述</abilityName>
      <candidateList>
        <item>服务型制造</item>
      </candidateList>
      <explain>词汇“服务型制造”在特定场景下为固定表述形式，请确认此处的“服务即制造”是否存在不当。</explain>
      <paraID>42F68145</paraID>
      <start>153</start>
      <end>158</end>
      <status>ignored</status>
      <modifiedWord/>
      <trackRevisions>false</trackRevisions>
    </reviewItem>
    <reviewItem>
      <errorID>8022d255-6e53-424a-ac3d-fe2e6fe763a1</errorID>
      <errorWord>中科院</errorWord>
      <group>L1_Knowledge</group>
      <groupName>知识性问题</groupName>
      <ability>L2_Knowledge</ability>
      <abilityName>其他知识</abilityName>
      <candidateList>
        <item>中国科学院</item>
      </candidateList>
      <explain/>
      <paraID>7F50A1D7</paraID>
      <start>65</start>
      <end>68</end>
      <status>ignored</status>
      <modifiedWord/>
      <trackRevisions>false</trackRevisions>
    </reviewItem>
    <reviewItem>
      <errorID>0d8b18f8-014e-4cf4-a195-40a6758fc6e5</errorID>
      <errorWord>中科院</errorWord>
      <group>L1_Knowledge</group>
      <groupName>知识性问题</groupName>
      <ability>L2_Knowledge</ability>
      <abilityName>其他知识</abilityName>
      <candidateList>
        <item>中国科学院</item>
      </candidateList>
      <explain/>
      <paraID>4830F58A</paraID>
      <start>118</start>
      <end>121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93870c-90e7-45c7-9176-17e45195a95f}">
  <ds:schemaRefs/>
</ds:datastoreItem>
</file>

<file path=docProps/app.xml><?xml version="1.0" encoding="utf-8"?>
<Properties xmlns="http://schemas.openxmlformats.org/officeDocument/2006/extended-properties" xmlns:vt="http://schemas.openxmlformats.org/officeDocument/2006/docPropsVTypes">
  <Template>Normal.dotm</Template>
  <Pages>21</Pages>
  <Words>4177</Words>
  <Characters>4276</Characters>
  <Lines>3</Lines>
  <Paragraphs>1</Paragraphs>
  <TotalTime>88</TotalTime>
  <ScaleCrop>false</ScaleCrop>
  <LinksUpToDate>false</LinksUpToDate>
  <CharactersWithSpaces>4276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2026-07-01T10:58:00Z</dcterms:created>
  <dc:creator>一七令</dc:creator>
  <cp:lastModifiedBy>暖耳朵</cp:lastModifiedBy>
  <cp:lastPrinted>2026-09-08T08:58:26Z</cp:lastPrinted>
  <dcterms:modified xsi:type="dcterms:W3CDTF">2026-09-08T09:07:49Z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001191110108MACG2KBH8F10000","ProduceID":"d6ehcq2d7de40imr5gn0-d92ehoghklbvmopq7cd0-20260701105819","ReservedCode1":"","ContentPropagator":"001191110108MACG2KBH8F20000","PropagateID":"d6ehcq2d7de40imr5gn0-d92ehoghklbvmopq7cd0-20260701105819","ReservedCode2":""}</vt:lpwstr>
  </property>
  <property fmtid="{D5CDD505-2E9C-101B-9397-08002B2CF9AE}" pid="3" name="KSOTemplateDocerSaveRecord">
    <vt:lpwstr>eyJoZGlkIjoiMjViYzM0ZjU5ZWUzOTVkMzQ3OWQzZjBjOTBkOTU1YmUiLCJ1c2VySWQiOiI0MTQzMTI5MDIifQ==</vt:lpwstr>
  </property>
  <property fmtid="{D5CDD505-2E9C-101B-9397-08002B2CF9AE}" pid="4" name="KSOProductBuildVer">
    <vt:lpwstr>2052-12.1.0.28505</vt:lpwstr>
  </property>
  <property fmtid="{D5CDD505-2E9C-101B-9397-08002B2CF9AE}" pid="5" name="ICV">
    <vt:lpwstr>C34075104B7A4222912BCCDBA09DD513_13</vt:lpwstr>
  </property>
</Properties>
</file>